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10" w:rsidRDefault="00000D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0D10" w:rsidRDefault="00000D10">
      <w:pPr>
        <w:pStyle w:val="ConsPlusNormal"/>
        <w:ind w:firstLine="540"/>
        <w:jc w:val="both"/>
        <w:outlineLvl w:val="0"/>
      </w:pPr>
    </w:p>
    <w:p w:rsidR="00000D10" w:rsidRDefault="00000D10">
      <w:pPr>
        <w:pStyle w:val="ConsPlusNormal"/>
        <w:outlineLvl w:val="0"/>
      </w:pPr>
      <w:r>
        <w:t>Зарегистрировано в Минюсте России 26 сентября 2016 г. N 43808</w:t>
      </w:r>
    </w:p>
    <w:p w:rsidR="00000D10" w:rsidRDefault="00000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D10" w:rsidRDefault="00000D10">
      <w:pPr>
        <w:pStyle w:val="ConsPlusTitle"/>
        <w:jc w:val="center"/>
      </w:pPr>
    </w:p>
    <w:p w:rsidR="00000D10" w:rsidRDefault="00000D10">
      <w:pPr>
        <w:pStyle w:val="ConsPlusTitle"/>
        <w:jc w:val="center"/>
      </w:pPr>
      <w:r>
        <w:t>ПРИКАЗ</w:t>
      </w:r>
    </w:p>
    <w:p w:rsidR="00000D10" w:rsidRDefault="00000D10">
      <w:pPr>
        <w:pStyle w:val="ConsPlusTitle"/>
        <w:jc w:val="center"/>
      </w:pPr>
      <w:r>
        <w:t>от 12 сентября 2016 г. N 1174</w:t>
      </w:r>
    </w:p>
    <w:p w:rsidR="00000D10" w:rsidRDefault="00000D10">
      <w:pPr>
        <w:pStyle w:val="ConsPlusTitle"/>
        <w:jc w:val="center"/>
      </w:pPr>
    </w:p>
    <w:p w:rsidR="00000D10" w:rsidRDefault="00000D10">
      <w:pPr>
        <w:pStyle w:val="ConsPlusTitle"/>
        <w:jc w:val="center"/>
      </w:pPr>
      <w:r>
        <w:t>ОБ УТВЕРЖДЕНИИ</w:t>
      </w:r>
    </w:p>
    <w:p w:rsidR="00000D10" w:rsidRDefault="00000D1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D10" w:rsidRDefault="00000D10">
      <w:pPr>
        <w:pStyle w:val="ConsPlusTitle"/>
        <w:jc w:val="center"/>
      </w:pPr>
      <w:r>
        <w:t>ВЫСШЕГО ОБРАЗОВАНИЯ ПО СПЕЦИАЛЬНОСТИ 04.05.01</w:t>
      </w:r>
    </w:p>
    <w:p w:rsidR="00000D10" w:rsidRDefault="00000D10">
      <w:pPr>
        <w:pStyle w:val="ConsPlusTitle"/>
        <w:jc w:val="center"/>
      </w:pPr>
      <w:r>
        <w:t>ФУНДАМЕНТАЛЬНАЯ И ПРИКЛАДНАЯ ХИМИЯ</w:t>
      </w:r>
    </w:p>
    <w:p w:rsidR="00000D10" w:rsidRDefault="00000D10">
      <w:pPr>
        <w:pStyle w:val="ConsPlusTitle"/>
        <w:jc w:val="center"/>
      </w:pPr>
      <w:r>
        <w:t>(УРОВЕНЬ СПЕЦИАЛИТЕТА)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3898, N 43, ст. 5976; 2016, N 2, ст. 325; N 8, ст. 1121; N 28, ст. 4741), и </w:t>
      </w:r>
      <w:hyperlink r:id="rId5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04.05.01 Фундаментальная и прикладная химия (уровень специалитета).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0D10" w:rsidRDefault="00000D1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2061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020201 Фундаментальная и прикладная химия (квалификация (степень) "специалист")" (зарегистрирован Министерством юстиции Российской Федерации 10 февраля 2011 г., регистрационный N 19793);</w:t>
      </w:r>
    </w:p>
    <w:p w:rsidR="00000D10" w:rsidRDefault="00000D1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right"/>
      </w:pPr>
      <w:r>
        <w:t>Министр</w:t>
      </w:r>
    </w:p>
    <w:p w:rsidR="00000D10" w:rsidRDefault="00000D10">
      <w:pPr>
        <w:pStyle w:val="ConsPlusNormal"/>
        <w:jc w:val="right"/>
      </w:pPr>
      <w:r>
        <w:t>О.Ю.ВАСИЛЬЕВА</w:t>
      </w: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  <w:outlineLvl w:val="0"/>
      </w:pPr>
      <w:r>
        <w:t>Приложение</w:t>
      </w:r>
    </w:p>
    <w:p w:rsidR="00000D10" w:rsidRDefault="00000D10">
      <w:pPr>
        <w:pStyle w:val="ConsPlusNormal"/>
        <w:jc w:val="right"/>
      </w:pPr>
    </w:p>
    <w:p w:rsidR="00000D10" w:rsidRDefault="00000D10">
      <w:pPr>
        <w:pStyle w:val="ConsPlusNormal"/>
        <w:jc w:val="right"/>
      </w:pPr>
      <w:r>
        <w:t>Утвержден</w:t>
      </w:r>
    </w:p>
    <w:p w:rsidR="00000D10" w:rsidRDefault="00000D10">
      <w:pPr>
        <w:pStyle w:val="ConsPlusNormal"/>
        <w:jc w:val="right"/>
      </w:pPr>
      <w:r>
        <w:t>приказом Министерства образования</w:t>
      </w:r>
    </w:p>
    <w:p w:rsidR="00000D10" w:rsidRDefault="00000D10">
      <w:pPr>
        <w:pStyle w:val="ConsPlusNormal"/>
        <w:jc w:val="right"/>
      </w:pPr>
      <w:r>
        <w:t>и науки Российской Федерации</w:t>
      </w:r>
    </w:p>
    <w:p w:rsidR="00000D10" w:rsidRDefault="00000D10">
      <w:pPr>
        <w:pStyle w:val="ConsPlusNormal"/>
        <w:jc w:val="right"/>
      </w:pPr>
      <w:r>
        <w:t>от 12 сентября 2016 г. N 1174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00D10" w:rsidRDefault="00000D10">
      <w:pPr>
        <w:pStyle w:val="ConsPlusTitle"/>
        <w:jc w:val="center"/>
      </w:pPr>
      <w:r>
        <w:t>ВЫСШЕГО ОБРАЗОВАНИЯ</w:t>
      </w:r>
    </w:p>
    <w:p w:rsidR="00000D10" w:rsidRDefault="00000D10">
      <w:pPr>
        <w:pStyle w:val="ConsPlusTitle"/>
        <w:jc w:val="center"/>
      </w:pPr>
    </w:p>
    <w:p w:rsidR="00000D10" w:rsidRDefault="00000D10">
      <w:pPr>
        <w:pStyle w:val="ConsPlusTitle"/>
        <w:jc w:val="center"/>
      </w:pPr>
      <w:r>
        <w:t>ПО СПЕЦИАЛЬНОСТИ</w:t>
      </w:r>
    </w:p>
    <w:p w:rsidR="00000D10" w:rsidRDefault="00000D10">
      <w:pPr>
        <w:pStyle w:val="ConsPlusTitle"/>
        <w:jc w:val="center"/>
      </w:pPr>
      <w:r>
        <w:t>04.05.01. ФУНДАМЕНТАЛЬНАЯ И ПРИКЛАДНАЯ ХИМИЯ</w:t>
      </w:r>
    </w:p>
    <w:p w:rsidR="00000D10" w:rsidRDefault="00000D10">
      <w:pPr>
        <w:pStyle w:val="ConsPlusTitle"/>
        <w:jc w:val="center"/>
      </w:pPr>
      <w:r>
        <w:t>(УРОВЕНЬ СПЕЦИАЛИТЕТА)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jc w:val="center"/>
        <w:outlineLvl w:val="1"/>
      </w:pPr>
      <w:r>
        <w:t>I. ОБЛАСТЬ ПРИМЕНЕНИЯ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04.05.01 Фундаментальная и прикладная химия (далее соответственно - программа специалитета, специальность).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1"/>
      </w:pPr>
      <w:r>
        <w:t>II. ИСПОЛЬЗУЕМЫЕ СОКРАЩЕНИЯ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образования.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jc w:val="center"/>
        <w:outlineLvl w:val="1"/>
      </w:pPr>
      <w:r>
        <w:t>III. ХАРАКТЕРИСТИКА СПЕЦИАЛЬНОСТИ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образовательных организациях высшего образования (далее - организации).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 обучения.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специалитета в очной форме обучения, реализуемый за один учебный год, составляет 60 з.е.;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</w:t>
      </w:r>
      <w:r>
        <w:lastRenderedPageBreak/>
        <w:t>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плану, не может составлять более 75 з.е.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00D10" w:rsidRDefault="00000D10">
      <w:pPr>
        <w:pStyle w:val="ConsPlusNormal"/>
        <w:jc w:val="center"/>
      </w:pPr>
      <w:r>
        <w:t>ВЫПУСКНИКОВ, ОСВОИВШИХ ПРОГРАММУ СПЕЦИАЛИТЕТА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исследование химических процессов, происходящих в природе или проводимых в лабораторных условиях, выявление общих закономерностей их протекания и возможности управления ими.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химические элементы, простые молекулы и сложные соединения в различном агрегатном состоянии (неорганические и органические вещества и материалы на их основе), полученные в результате химического синтеза (лабораторного, промышленного) или выделенные из природных объектов.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научно-производственная;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lastRenderedPageBreak/>
        <w:t>педагогическая.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в соответствии с видом (видами) профессиональной деятельности, на который (которые) ориентирована программа специалитета, готов решать следующие профессиональные задачи: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сбор и анализ литературы по заданной тематике;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планирование и постановка работы (исследование состава, строения и свойств веществ, закономерностей протекания химических процессов, создание и разработка новых перспективных материалов и химических технологий, решение фундаментальных и прикладных задач в области химии и химической технологии);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анализ полученных результатов и подготовка рекомендаций по продолжению исследования;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подготовка отчета и публикаций;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научно-производственная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сбор и анализ литературы с использованием открытых источников и патентных баз данных;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планирование и постановка исследовательских работ для решения конкретных химико-технологических задач;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анализ полученных результатов и подготовка рекомендаций по их внедрению в технологический процесс;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подготовка отчетов и необходимых для оформления патентов материалов;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планирование и организация работы коллектива в сфере своей профессиональной деятельности;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осуществление воспитательной и учебной (преподавательской) работы в организациях, осуществляющих образовательную деятельность.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1"/>
      </w:pPr>
      <w:r>
        <w:t>V. ТРЕБОВАНИЯ К РЕЗУЛЬТАТАМ ОСВОЕНИЯ ПРОГРАММ СПЕЦИАЛИТЕТА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 и профессиональные компетенции.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способностью использовать основы философских знаний для формирования </w:t>
      </w:r>
      <w:r>
        <w:lastRenderedPageBreak/>
        <w:t>мировоззренческой позиции (ОК-2);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к саморазвитию, самореализации, использованию творческого потенциала (ОК-7);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воспринимать, развивать и использовать теоретические основы традиционных и новых разделов химии при решении профессиональных задач (ОПК-1);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навыками химического эксперимента, синтетическими и аналитическими методами получения и исследования химических веществ и реакций (ОПК-2);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использовать теоретические основы фундаментальных разделов математики и физики в профессиональной деятельности (ОПК-3);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вычислительных средств с учетом основных требований информационной безопасности (ОПК-4);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к поиску, обработке, анализу научной информации и формулировке на их основе выводов и предложений (ОПК-5);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нормами техники безопасности и умением реализовать их в лабораторных и технологических условиях (ОПК-6);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(ОПК-7);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(ОПК-8).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lastRenderedPageBreak/>
        <w:t>способностью проводить научные исследования по сформулированной тематике и получать новые научные и прикладные результаты (ПК-1);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навыками использования современной аппаратуры при проведении научных исследований (ПК-2);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системой фундаментальных химических понятий и методологических аспектов химии, формами и методами научного познания (ПК-3);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применять основные естественнонаучные законы при обсуждении полученных результатов (ПК-4);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способностью приобретать новые знания с использованием современных научных методов и владение ими на уровне, необходимом для решения задач, имеющих естественнонаучное содержание и возникающих при выполнении профессиональных функций (ПК-5);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современными компьютерными технологиями при планировании исследований, получении и обработке результатов научных экспериментов, сборе, обработке, хранении, представлении и передаче научной информации (ПК-6);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представлять полученные в исследованиях результаты в виде отчетов и научных публикаций (стендовых докладов, рефератов и статей в периодической научной печати) (ПК-7);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научно-производственная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основными химическими, физическими и техническими аспектами химического промышленного производства с учетом сырьевых и энергетических затрат (ПК-8);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базовыми понятиями экологической химии, методами безопасного обращения с химическими материалами с учетом их физических и химических свойств, способностью проводить оценку возможных рисков (ПК-9);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готовностью планировать деятельность работников, составлять директивные документы, принимать решения и брать на себя ответственность за их реализацию (ПК-10);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методами отбора материала, проведения теоретических занятий и лабораторных работ, основами управления процессом обучения в образовательных организациях (ПК-11);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владением способами разработки новых образовательных технологий, включая системы компьютерного и дистанционного обучения (ПК-12).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5.5.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5.6. При разработке программы специалитета организация вправе дополнить набор компетенций выпускников с учетом ориентации программы специалитета на конкретные области знания, и (или) вид (виды) деятельности данной программы.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1"/>
      </w:pPr>
      <w:r>
        <w:t>VI. ТРЕБОВАНИЯ К СТРУКТУРЕ ПРОГРАММ СПЕЦИАЛИТЕТА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000D10" w:rsidRDefault="00000D10">
      <w:pPr>
        <w:pStyle w:val="ConsPlusNormal"/>
        <w:spacing w:before="220"/>
        <w:ind w:firstLine="540"/>
        <w:jc w:val="both"/>
      </w:pPr>
      <w:hyperlink w:anchor="P157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000D10" w:rsidRDefault="00000D10">
      <w:pPr>
        <w:pStyle w:val="ConsPlusNormal"/>
        <w:spacing w:before="220"/>
        <w:ind w:firstLine="540"/>
        <w:jc w:val="both"/>
      </w:pPr>
      <w:hyperlink w:anchor="P166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включает практики, относящиеся к базовой части программы и практики, относящиеся к ее вариативной части;</w:t>
      </w:r>
    </w:p>
    <w:p w:rsidR="00000D10" w:rsidRDefault="00000D10">
      <w:pPr>
        <w:pStyle w:val="ConsPlusNormal"/>
        <w:spacing w:before="220"/>
        <w:ind w:firstLine="540"/>
        <w:jc w:val="both"/>
      </w:pPr>
      <w:hyperlink w:anchor="P173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2"/>
      </w:pPr>
      <w:r>
        <w:t>Структура программы специалитета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right"/>
      </w:pPr>
      <w:r>
        <w:t>Таблица</w:t>
      </w:r>
    </w:p>
    <w:p w:rsidR="00000D10" w:rsidRDefault="00000D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0"/>
        <w:gridCol w:w="5980"/>
        <w:gridCol w:w="1878"/>
      </w:tblGrid>
      <w:tr w:rsidR="00000D10">
        <w:tc>
          <w:tcPr>
            <w:tcW w:w="7220" w:type="dxa"/>
            <w:gridSpan w:val="2"/>
          </w:tcPr>
          <w:p w:rsidR="00000D10" w:rsidRDefault="00000D1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000D10">
        <w:tc>
          <w:tcPr>
            <w:tcW w:w="1240" w:type="dxa"/>
            <w:vMerge w:val="restart"/>
          </w:tcPr>
          <w:p w:rsidR="00000D10" w:rsidRDefault="00000D10">
            <w:pPr>
              <w:pStyle w:val="ConsPlusNormal"/>
            </w:pPr>
            <w:bookmarkStart w:id="1" w:name="P157"/>
            <w:bookmarkEnd w:id="1"/>
            <w:r>
              <w:t>Блок 1</w:t>
            </w: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243 - 246</w:t>
            </w:r>
          </w:p>
        </w:tc>
      </w:tr>
      <w:tr w:rsidR="00000D10">
        <w:tblPrEx>
          <w:tblBorders>
            <w:insideH w:val="nil"/>
          </w:tblBorders>
        </w:tblPrEx>
        <w:tc>
          <w:tcPr>
            <w:tcW w:w="1240" w:type="dxa"/>
            <w:vMerge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  <w:tcBorders>
              <w:bottom w:val="nil"/>
            </w:tcBorders>
          </w:tcPr>
          <w:p w:rsidR="00000D10" w:rsidRDefault="00000D10">
            <w:pPr>
              <w:pStyle w:val="ConsPlusNormal"/>
            </w:pPr>
            <w:r>
              <w:t>Базовая часть</w:t>
            </w:r>
          </w:p>
        </w:tc>
        <w:tc>
          <w:tcPr>
            <w:tcW w:w="1878" w:type="dxa"/>
            <w:tcBorders>
              <w:bottom w:val="nil"/>
            </w:tcBorders>
          </w:tcPr>
          <w:p w:rsidR="00000D10" w:rsidRDefault="00000D10">
            <w:pPr>
              <w:pStyle w:val="ConsPlusNormal"/>
              <w:jc w:val="center"/>
            </w:pPr>
            <w:r>
              <w:t>186 - 204</w:t>
            </w:r>
          </w:p>
        </w:tc>
      </w:tr>
      <w:tr w:rsidR="00000D10">
        <w:tblPrEx>
          <w:tblBorders>
            <w:insideH w:val="nil"/>
          </w:tblBorders>
        </w:tblPrEx>
        <w:tc>
          <w:tcPr>
            <w:tcW w:w="1240" w:type="dxa"/>
            <w:vMerge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  <w:tcBorders>
              <w:top w:val="nil"/>
            </w:tcBorders>
          </w:tcPr>
          <w:p w:rsidR="00000D10" w:rsidRDefault="00000D10">
            <w:pPr>
              <w:pStyle w:val="ConsPlusNormal"/>
            </w:pPr>
            <w:r>
              <w:t>В том числе дисциплины (модули) специализации (при наличии)</w:t>
            </w:r>
          </w:p>
        </w:tc>
        <w:tc>
          <w:tcPr>
            <w:tcW w:w="1878" w:type="dxa"/>
            <w:tcBorders>
              <w:top w:val="nil"/>
            </w:tcBorders>
          </w:tcPr>
          <w:p w:rsidR="00000D10" w:rsidRDefault="00000D10">
            <w:pPr>
              <w:pStyle w:val="ConsPlusNormal"/>
              <w:jc w:val="center"/>
            </w:pPr>
            <w:r>
              <w:t>39 - 66</w:t>
            </w:r>
          </w:p>
        </w:tc>
      </w:tr>
      <w:tr w:rsidR="00000D10">
        <w:tc>
          <w:tcPr>
            <w:tcW w:w="1240" w:type="dxa"/>
            <w:vMerge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42 - 57</w:t>
            </w:r>
          </w:p>
        </w:tc>
      </w:tr>
      <w:tr w:rsidR="00000D10">
        <w:tc>
          <w:tcPr>
            <w:tcW w:w="1240" w:type="dxa"/>
            <w:vMerge w:val="restart"/>
          </w:tcPr>
          <w:p w:rsidR="00000D10" w:rsidRDefault="00000D10">
            <w:pPr>
              <w:pStyle w:val="ConsPlusNormal"/>
            </w:pPr>
            <w:bookmarkStart w:id="2" w:name="P166"/>
            <w:bookmarkEnd w:id="2"/>
            <w:r>
              <w:lastRenderedPageBreak/>
              <w:t>Блок 2</w:t>
            </w: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45 - 51</w:t>
            </w:r>
          </w:p>
        </w:tc>
      </w:tr>
      <w:tr w:rsidR="00000D10">
        <w:tc>
          <w:tcPr>
            <w:tcW w:w="1240" w:type="dxa"/>
            <w:vMerge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Базовая часть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18 - 27</w:t>
            </w:r>
          </w:p>
        </w:tc>
      </w:tr>
      <w:tr w:rsidR="00000D10">
        <w:tc>
          <w:tcPr>
            <w:tcW w:w="1240" w:type="dxa"/>
            <w:vMerge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24 - 27</w:t>
            </w:r>
          </w:p>
        </w:tc>
      </w:tr>
      <w:tr w:rsidR="00000D10">
        <w:tc>
          <w:tcPr>
            <w:tcW w:w="1240" w:type="dxa"/>
          </w:tcPr>
          <w:p w:rsidR="00000D10" w:rsidRDefault="00000D10">
            <w:pPr>
              <w:pStyle w:val="ConsPlusNormal"/>
            </w:pPr>
            <w:bookmarkStart w:id="3" w:name="P173"/>
            <w:bookmarkEnd w:id="3"/>
            <w:r>
              <w:t>Блок 3</w:t>
            </w: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6 - 9</w:t>
            </w:r>
          </w:p>
        </w:tc>
      </w:tr>
      <w:tr w:rsidR="00000D10">
        <w:tc>
          <w:tcPr>
            <w:tcW w:w="1240" w:type="dxa"/>
          </w:tcPr>
          <w:p w:rsidR="00000D10" w:rsidRDefault="00000D10">
            <w:pPr>
              <w:pStyle w:val="ConsPlusNormal"/>
            </w:pPr>
          </w:p>
        </w:tc>
        <w:tc>
          <w:tcPr>
            <w:tcW w:w="5980" w:type="dxa"/>
          </w:tcPr>
          <w:p w:rsidR="00000D10" w:rsidRDefault="00000D10">
            <w:pPr>
              <w:pStyle w:val="ConsPlusNormal"/>
            </w:pPr>
            <w:r>
              <w:t>Базовая часть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6 - 9</w:t>
            </w:r>
          </w:p>
        </w:tc>
      </w:tr>
      <w:tr w:rsidR="00000D10">
        <w:tc>
          <w:tcPr>
            <w:tcW w:w="7220" w:type="dxa"/>
            <w:gridSpan w:val="2"/>
          </w:tcPr>
          <w:p w:rsidR="00000D10" w:rsidRDefault="00000D10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1878" w:type="dxa"/>
          </w:tcPr>
          <w:p w:rsidR="00000D10" w:rsidRDefault="00000D10">
            <w:pPr>
              <w:pStyle w:val="ConsPlusNormal"/>
              <w:jc w:val="center"/>
            </w:pPr>
            <w:r>
              <w:t>300</w:t>
            </w:r>
          </w:p>
        </w:tc>
      </w:tr>
    </w:tbl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вне зависимости от специализации программы специалитета,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57">
        <w:r>
          <w:rPr>
            <w:color w:val="0000FF"/>
          </w:rPr>
          <w:t>Блока 1</w:t>
        </w:r>
      </w:hyperlink>
      <w:r>
        <w:t xml:space="preserve">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57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6.6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6.7. В </w:t>
      </w:r>
      <w:hyperlink w:anchor="P166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lastRenderedPageBreak/>
        <w:t>технологическая практика;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научная исследовательская работа.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стационарная;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выездная.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Учебная и/или производственная практики могут проводиться в структурных подразделениях организации.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6.8. В </w:t>
      </w:r>
      <w:hyperlink w:anchor="P17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вариативной части </w:t>
      </w:r>
      <w:hyperlink w:anchor="P157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57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jc w:val="center"/>
        <w:outlineLvl w:val="1"/>
      </w:pPr>
      <w:r>
        <w:t>VII. ТРЕБОВАНИЯ К УСЛОВИЯМ РЕАЛИЗАЦИИ ПРОГРАММ СПЕЦИАЛИТЕТА</w:t>
      </w:r>
    </w:p>
    <w:p w:rsidR="00000D10" w:rsidRDefault="00000D10">
      <w:pPr>
        <w:pStyle w:val="ConsPlusNormal"/>
        <w:jc w:val="center"/>
      </w:pPr>
    </w:p>
    <w:p w:rsidR="00000D10" w:rsidRDefault="00000D1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</w:t>
      </w:r>
      <w:r>
        <w:lastRenderedPageBreak/>
        <w:t xml:space="preserve">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1">
        <w:r>
          <w:rPr>
            <w:color w:val="0000FF"/>
          </w:rPr>
          <w:t>разделе</w:t>
        </w:r>
      </w:hyperlink>
      <w:r>
        <w:t xml:space="preserve"> </w:t>
      </w:r>
      <w:r>
        <w:lastRenderedPageBreak/>
        <w:t>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65 процентов для программы специалитета, ориентированной на научно-исследовательский или научно-педагогический вид профессиональной деятельности выпускников;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50 процентов для программы специалитета, ориентированной на организационно-управленческий или консультационно-экспертный вид профессиональной деятельности выпускников.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</w:t>
      </w:r>
      <w:proofErr w:type="gramStart"/>
      <w:r>
        <w:t>работников</w:t>
      </w:r>
      <w:proofErr w:type="gramEnd"/>
      <w:r>
        <w:t xml:space="preserve"> реализующих программу специалитета, должна быть не менее: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5 процентов для программы специалитета, ориентированной на научно-исследовательский или научно-педагогический вид профессиональной деятельности выпускников;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10 процентов для программы специалитета, ориентированной на организационно-управленческий или консультационно-экспертный вид профессиональной деятельности выпускников.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lastRenderedPageBreak/>
        <w:t>обучения, служащими для представления учебной информации большой аудитории.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>7.3.5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000D10" w:rsidRDefault="00000D10">
      <w:pPr>
        <w:pStyle w:val="ConsPlusNormal"/>
        <w:spacing w:before="220"/>
        <w:ind w:firstLine="540"/>
        <w:jc w:val="both"/>
      </w:pPr>
      <w:r>
        <w:t xml:space="preserve">7.4.1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2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</w:t>
      </w:r>
      <w:r>
        <w:lastRenderedPageBreak/>
        <w:t>юстиции Российской Федерации 30 ноября 2015 г., регистрационный N 39898).</w:t>
      </w: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ind w:firstLine="540"/>
        <w:jc w:val="both"/>
      </w:pPr>
    </w:p>
    <w:p w:rsidR="00000D10" w:rsidRDefault="00000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539" w:rsidRDefault="00971539">
      <w:bookmarkStart w:id="4" w:name="_GoBack"/>
      <w:bookmarkEnd w:id="4"/>
    </w:p>
    <w:sectPr w:rsidR="00971539" w:rsidSect="00E7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10"/>
    <w:rsid w:val="00000D10"/>
    <w:rsid w:val="009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03D4-4A74-40F5-9080-1F41C3D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D1A337E9D4AFD71917FB0B8D4DB7585A10DDCB52CA486B6E9A05E18BC4E5B0B795F89C95A6D74A403F7F2E041199A4716587EE9C8A7CY3Q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76D1A337E9D4AFD71917FB0B8D4DB75E5B11D9C35DCA486B6E9A05E18BC4E5B0B795F89C95A1DC4A403F7F2E041199A4716587EE9C8A7CY3Q9I" TargetMode="External"/><Relationship Id="rId12" Type="http://schemas.openxmlformats.org/officeDocument/2006/relationships/hyperlink" Target="consultantplus://offline/ref=5976D1A337E9D4AFD71917FB0B8D4DB75D531DD2CB50CA486B6E9A05E18BC4E5B0B795F89C94A7DE49403F7F2E041199A4716587EE9C8A7CY3Q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6D1A337E9D4AFD71917FB0B8D4DB75D5A12DCCE56CA486B6E9A05E18BC4E5A2B7CDF49D9DB9DF4F55692E68Y5Q2I" TargetMode="External"/><Relationship Id="rId11" Type="http://schemas.openxmlformats.org/officeDocument/2006/relationships/hyperlink" Target="consultantplus://offline/ref=5976D1A337E9D4AFD71917FB0B8D4DB75D5A16DFCB52CA486B6E9A05E18BC4E5B0B795F89C94A7DE4E403F7F2E041199A4716587EE9C8A7CY3Q9I" TargetMode="External"/><Relationship Id="rId5" Type="http://schemas.openxmlformats.org/officeDocument/2006/relationships/hyperlink" Target="consultantplus://offline/ref=5976D1A337E9D4AFD71917FB0B8D4DB75E5313DDCB5CCA486B6E9A05E18BC4E5B0B795F89C94A7DB4C403F7F2E041199A4716587EE9C8A7CY3Q9I" TargetMode="External"/><Relationship Id="rId10" Type="http://schemas.openxmlformats.org/officeDocument/2006/relationships/hyperlink" Target="consultantplus://offline/ref=5976D1A337E9D4AFD71917FB0B8D4DB7585916D9CE55CA486B6E9A05E18BC4E5A2B7CDF49D9DB9DF4F55692E68Y5Q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76D1A337E9D4AFD71917FB0B8D4DB7585812DDCC57CA486B6E9A05E18BC4E5A2B7CDF49D9DB9DF4F55692E68Y5Q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2023-01-19T08:16:00Z</dcterms:created>
  <dcterms:modified xsi:type="dcterms:W3CDTF">2023-01-19T08:16:00Z</dcterms:modified>
</cp:coreProperties>
</file>