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35" w:rsidRDefault="00EB5A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B5A35" w:rsidRDefault="00EB5A35">
      <w:pPr>
        <w:pStyle w:val="ConsPlusNormal"/>
        <w:jc w:val="both"/>
        <w:outlineLvl w:val="0"/>
      </w:pPr>
    </w:p>
    <w:p w:rsidR="00EB5A35" w:rsidRDefault="00EB5A35">
      <w:pPr>
        <w:pStyle w:val="ConsPlusNormal"/>
        <w:jc w:val="both"/>
        <w:outlineLvl w:val="0"/>
      </w:pPr>
      <w:r>
        <w:t>Зарегистрировано в Минюсте России 25 августа 2014 г. N 33786</w:t>
      </w:r>
    </w:p>
    <w:p w:rsidR="00EB5A35" w:rsidRDefault="00EB5A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B5A35" w:rsidRDefault="00EB5A35">
      <w:pPr>
        <w:pStyle w:val="ConsPlusTitle"/>
        <w:jc w:val="center"/>
      </w:pPr>
    </w:p>
    <w:p w:rsidR="00EB5A35" w:rsidRDefault="00EB5A35">
      <w:pPr>
        <w:pStyle w:val="ConsPlusTitle"/>
        <w:jc w:val="center"/>
      </w:pPr>
      <w:r>
        <w:t>ПРИКАЗ</w:t>
      </w:r>
    </w:p>
    <w:p w:rsidR="00EB5A35" w:rsidRDefault="00EB5A35">
      <w:pPr>
        <w:pStyle w:val="ConsPlusTitle"/>
        <w:jc w:val="center"/>
      </w:pPr>
      <w:r>
        <w:t>от 7 августа 2014 г. N 940</w:t>
      </w:r>
    </w:p>
    <w:p w:rsidR="00EB5A35" w:rsidRDefault="00EB5A35">
      <w:pPr>
        <w:pStyle w:val="ConsPlusTitle"/>
        <w:jc w:val="center"/>
      </w:pPr>
    </w:p>
    <w:p w:rsidR="00EB5A35" w:rsidRDefault="00EB5A35">
      <w:pPr>
        <w:pStyle w:val="ConsPlusTitle"/>
        <w:jc w:val="center"/>
      </w:pPr>
      <w:r>
        <w:t>ОБ УТВЕРЖДЕНИИ</w:t>
      </w:r>
    </w:p>
    <w:p w:rsidR="00EB5A35" w:rsidRDefault="00EB5A3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B5A35" w:rsidRDefault="00EB5A35">
      <w:pPr>
        <w:pStyle w:val="ConsPlusTitle"/>
        <w:jc w:val="center"/>
      </w:pPr>
      <w:r>
        <w:t>ВЫСШЕГО ОБРАЗОВАНИЯ ПО НАПРАВЛЕНИЮ ПОДГОТОВКИ 45.03.02</w:t>
      </w:r>
    </w:p>
    <w:p w:rsidR="00EB5A35" w:rsidRDefault="00EB5A35">
      <w:pPr>
        <w:pStyle w:val="ConsPlusTitle"/>
        <w:jc w:val="center"/>
      </w:pPr>
      <w:r>
        <w:t>ЛИНГВИСТИКА (УРОВЕНЬ БАКАЛАВРИАТА)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45.03.02 Лингвистика (уровень бакалавриата).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B5A35" w:rsidRDefault="00EB5A3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мая 2010 г. N 541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035700 Лингвистика (квалификация (степень) "бакалавр")" (зарегистрирован Министерством юстиции Российской Федерации 4 августа 2010 г., регистрационный N 18067);</w:t>
      </w:r>
    </w:p>
    <w:p w:rsidR="00EB5A35" w:rsidRDefault="00EB5A35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43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EB5A35" w:rsidRDefault="00EB5A35">
      <w:pPr>
        <w:pStyle w:val="ConsPlusNormal"/>
        <w:jc w:val="right"/>
      </w:pPr>
      <w:r>
        <w:t>Н.В.ТРЕТЬЯК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right"/>
        <w:outlineLvl w:val="0"/>
      </w:pPr>
      <w:r>
        <w:t>Приложение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right"/>
      </w:pPr>
      <w:r>
        <w:t>Утвержден</w:t>
      </w:r>
    </w:p>
    <w:p w:rsidR="00EB5A35" w:rsidRDefault="00EB5A35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EB5A35" w:rsidRDefault="00EB5A35">
      <w:pPr>
        <w:pStyle w:val="ConsPlusNormal"/>
        <w:jc w:val="right"/>
      </w:pPr>
      <w:r>
        <w:t>и науки Российской Федерации</w:t>
      </w:r>
    </w:p>
    <w:p w:rsidR="00EB5A35" w:rsidRDefault="00EB5A35">
      <w:pPr>
        <w:pStyle w:val="ConsPlusNormal"/>
        <w:jc w:val="right"/>
      </w:pPr>
      <w:r>
        <w:t>от 7 августа 2014 г. N 940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EB5A35" w:rsidRDefault="00EB5A35">
      <w:pPr>
        <w:pStyle w:val="ConsPlusTitle"/>
        <w:jc w:val="center"/>
      </w:pPr>
      <w:r>
        <w:t>ВЫСШЕГО ОБРАЗОВАНИЯ</w:t>
      </w:r>
    </w:p>
    <w:p w:rsidR="00EB5A35" w:rsidRDefault="00EB5A35">
      <w:pPr>
        <w:pStyle w:val="ConsPlusTitle"/>
        <w:jc w:val="center"/>
      </w:pPr>
    </w:p>
    <w:p w:rsidR="00EB5A35" w:rsidRDefault="00EB5A35">
      <w:pPr>
        <w:pStyle w:val="ConsPlusTitle"/>
        <w:jc w:val="center"/>
      </w:pPr>
      <w:r>
        <w:t>УРОВЕНЬ ВЫСШЕГО ОБРАЗОВАНИЯ</w:t>
      </w:r>
    </w:p>
    <w:p w:rsidR="00EB5A35" w:rsidRDefault="00EB5A35">
      <w:pPr>
        <w:pStyle w:val="ConsPlusTitle"/>
        <w:jc w:val="center"/>
      </w:pPr>
      <w:r>
        <w:t>БАКАЛАВРИАТ</w:t>
      </w:r>
    </w:p>
    <w:p w:rsidR="00EB5A35" w:rsidRDefault="00EB5A35">
      <w:pPr>
        <w:pStyle w:val="ConsPlusTitle"/>
        <w:jc w:val="center"/>
      </w:pPr>
    </w:p>
    <w:p w:rsidR="00EB5A35" w:rsidRDefault="00EB5A35">
      <w:pPr>
        <w:pStyle w:val="ConsPlusTitle"/>
        <w:jc w:val="center"/>
      </w:pPr>
      <w:r>
        <w:t>НАПРАВЛЕНИЕ ПОДГОТОВКИ</w:t>
      </w:r>
    </w:p>
    <w:p w:rsidR="00EB5A35" w:rsidRDefault="00EB5A35">
      <w:pPr>
        <w:pStyle w:val="ConsPlusTitle"/>
        <w:jc w:val="center"/>
      </w:pPr>
      <w:r>
        <w:t>45.03.02 ЛИНГВИСТИКА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1"/>
      </w:pPr>
      <w:r>
        <w:t>I. ОБЛАСТЬ ПРИМЕНЕНИЯ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45.03.02 Лингвистика (далее соответственно - программа бакалавриата, направление подготовки).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1"/>
      </w:pPr>
      <w:r>
        <w:t>II. ИСПОЛЬЗУЕМЫЕ СОКРАЩЕНИЯ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бакалавриата: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</w:t>
      </w:r>
      <w:r>
        <w:lastRenderedPageBreak/>
        <w:t>реализуемый за один учебный год, составляет 60 з.е.;</w:t>
      </w:r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плану, определяются организацией самостоятельно в пределах сроков, установленных настоящим пунктом.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EB5A35" w:rsidRDefault="00EB5A35">
      <w:pPr>
        <w:pStyle w:val="ConsPlusNormal"/>
        <w:jc w:val="center"/>
      </w:pPr>
      <w:r>
        <w:t>ВЫПУСКНИКОВ, ОСВОИВШИХ ПРОГРАММУ БАКАЛАВРИАТА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лингвистическое образование, межъязыковое общение, межкультурную коммуникацию, теоретическую и прикладную лингвистику и новые информационные технологии.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теория иностранных языков;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теория и методика преподавания иностранных языков и культур;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перевод и переводоведение;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теория межкультурной коммуникации;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лингвистические компоненты электронных информационных систем;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иностранные языки и культуры стран изучаемых языков.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lastRenderedPageBreak/>
        <w:t>4.3. Виды профессиональной деятельности, к которым готовятся выпускники, освоившие программу бакалавриата: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лингводидактическая;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переводческая;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консультативно-коммуникативная;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информационно-лингвистическая;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научно-исследовательская.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лингводидактическая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применение на практике действующих образовательных стандартов и программ;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использование учебно-методических материалов, современных информационных ресурсов и технологий;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проведение информационно-поисковой деятельности, направленной на совершенствование профессиональных умений в области методики преподавания;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переводческая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обеспечение межкультурного общения в различных профессиональных сферах;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выполнение функций посредника в сфере межкультурной коммуникации;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использование видов, приемов и технологий перевода с учетом характера переводимого текста и условий перевода для достижения максимального коммуникативного эффекта;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проведение информационно-поисковой деятельности, направленной на совершенствование профессиональных умений в области перевода;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lastRenderedPageBreak/>
        <w:t>составление словников, методических рекомендаций в профессионально ориентированных областях перевода;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консультативно-коммуникативная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участие в деловых переговорах, конференциях, симпозиумах, семинарах с использованием нескольких рабочих языков;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применение тактик разрешения конфликтных ситуаций в сфере межкультурной коммуникации;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проведение информационно-поисковой деятельности, направленной на совершенствование профессиональных умений в области межкультурной коммуникации;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составление словников, методических рекомендаций в профессионально ориентированных областях межкультурной коммуникации;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информационно-лингвистическая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обработка русскоязычных и иноязычных текстов в производственно-практических целях;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экспертный лингвистический анализ звучащей речи и письменных текстов в производственно-практических целях;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применение средств информационной поддержки лингвистических областей знания;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сопровождение лингвистического обеспечения электронных информационных систем и электронных языковых ресурсов различного назначения;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участие в формализации лингвистического материала в соответствии с поставленными задачами;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выявление и критический анализ конкретных проблем межкультурной коммуникации, влияющих на эффективность межкультурных и межъязыковых контактов, обучения иностранным языкам;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участие в проведении эмпирических исследований проблемных ситуаций и диссонансов в сфере межкультурной коммуникации;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апробация (экспертиза) программных продуктов лингвистического профиля.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способностью руководствоваться принципами культурного релятивизма и этическими нормами, предполагающими отказ от этноцентризма и уважение своеобразия иноязычной </w:t>
      </w:r>
      <w:r>
        <w:lastRenderedPageBreak/>
        <w:t>культуры и ценностных ориентаций иноязычного социума (ОК-2);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навыками социокультурной и межкультурной коммуникации, обеспечивающими адекватность социальных и профессиональных контактов (ОК-3);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готовностью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поддержание доверительных партнерских отношений (ОК-4);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 (ОК-5);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наследием отечественной научной мысли, направленной на решение общегуманитарных и общечеловеческих задач (ОК-6);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 (ОК-7);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занимать гражданскую позицию в социально-личностных конфликтных ситуациях (ОК-9);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к осознанию своих прав и обязанностей как гражданин своей страны; готовностью использовать действующее законодательство; демонстрирует готовность и стремление к совершенствованию и развитию общества на принципах гуманизма, свободы и демократии (ОК-10);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готовностью к постоянному саморазвитию, повышению своей квалификации и мастерства; способностью критически оценить свои достоинства и недостатки, наметить пути и выбрать средства саморазвития (ОК-11);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к пониманию социальной значимости своей будущей профессии, владением высокой мотивацией к выполнению профессиональной деятельности (ОК-12).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(ОПК-1);</w:t>
      </w:r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>способностью видеть междисциплинарные связи изучаемых дисциплин, понимает их значение для будущей профессиональной деятельности (ОПК-2);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(ОПК-3);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владением этическими и нравственными нормами поведения, принятыми в инокультурном социуме; готовностью использовать модели социальных ситуаций, типичные сценарии </w:t>
      </w:r>
      <w:r>
        <w:lastRenderedPageBreak/>
        <w:t>взаимодействия участников межкультурной коммуникации (ОПК-4);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(ОПК-5);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сверхфразовыми единствами, предложениями (ОПК-6);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свободно выражать свои мысли, адекватно используя разнообразные языковые средства с целью выделения релевантной информации (ОПК-7);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особенностями официального, нейтрального и неофициального регистров общения (ОПК-8);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готовностью преодолевать влияние стереотипов и осуществлять межкультурный диалог в общей и профессиональной </w:t>
      </w:r>
      <w:proofErr w:type="gramStart"/>
      <w:r>
        <w:t>сферах</w:t>
      </w:r>
      <w:proofErr w:type="gramEnd"/>
      <w:r>
        <w:t xml:space="preserve"> общения (ОПК-9);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использовать этикетные формулы в устной и письменной коммуникации (ОПК-10);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навыками работы с компьютером как средством получения, обработки и управления информацией (ОПК-11);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работать с различными носителями информации, распределенными базами данных и знаний, с глобальными компьютерными сетями (ОПК-12);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работать с электронными словарями и другими электронными ресурсами для решения лингвистических задач (ОПК-13);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основами современной информационной и библиографической культуры (ОПК-14);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выдвигать гипотезы и последовательно развивать аргументацию в их защиту (ОПК-15);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стандартными методиками поиска, анализа и обработки материала исследования (ОПК-16);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способностью оценивать качество исследования в своей предметной области, соотносить новую информацию </w:t>
      </w:r>
      <w:proofErr w:type="gramStart"/>
      <w:r>
        <w:t>с</w:t>
      </w:r>
      <w:proofErr w:type="gramEnd"/>
      <w:r>
        <w:t xml:space="preserve"> уже </w:t>
      </w:r>
      <w:proofErr w:type="gramStart"/>
      <w:r>
        <w:t>имеющейся</w:t>
      </w:r>
      <w:proofErr w:type="gramEnd"/>
      <w:r>
        <w:t>, логично и последовательно представлять результаты собственного исследования (ОПК-17);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ориентироваться на рынке труда и занятости в части, касающейся своей профессиональной деятельности, владением навыками экзистенциальной компетенции (изучение рынка труда, составление резюме, проведение собеседования и переговоров с потенциальным работодателем) (ОПК-18);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навыками организации групповой и коллективной деятельности для достижения общих целей трудового коллектива (ОПК-19);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технологий и с учетом основных требований информационной безопасности (ОПК-20).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lastRenderedPageBreak/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лингводидактическая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теоретическими основами обучения иностранным языкам, закономерностями становления способности к межкультурной коммуникации (ПК-1);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средствами и методами профессиональной деятельности учителя и преподавателя иностранного языка, а также закономерностями процессов преподавания и изучения иностранных языков (ПК-2);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использовать учебники, учебные пособия и дидактические материалы по иностранному языку для разработки новых учебных материалов по определенной теме (ПК-3);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 (ПК-4);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критически анализировать учебный процесс и учебные материалы с точки зрения их эффективности (ПК-5);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эффективно строить учебный процесс, осуществляя педагогическую деятельность в образовательных организациях дошкольного, начального общего, основного общего, среднего общего и среднего профессионального образования, а также дополнительного лингвистического образования (включая дополнительное образование детей и взрослых и дополнительное профессиональное образование) в соответствии с задачами конкретного учебного курса и условиями обучения иностранным языкам (ПК-6);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переводческая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методикой предпереводческого анализа текста, способствующей точному восприятию исходного высказывания (ПК-7);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методикой подготовки к выполнению перевода, включая поиск информации в справочной, специальной литературе и компьютерных сетях (ПК-8);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основными способами достижения эквивалентности в переводе и способностью применять основные приемы перевода (ПК-9);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(ПК-10);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оформлять текст перевода в компьютерном текстовом редакторе (ПК-11);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 (ПК-12);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основами системы сокращенной переводческой записи при выполнении устного последовательного перевода (ПК-13);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этикой устного перевода (ПК-14);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</w:t>
      </w:r>
      <w:r>
        <w:lastRenderedPageBreak/>
        <w:t>переговоров, обеспечение переговоров официальных делегаций) (ПК-15);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консультативно-коммуникативная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необходимыми интеракциональными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(ПК-16);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моделировать возможные ситуации общения между представителями различных культур и социумов (ПК-17);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нормами этикета, принятыми в различных ситуациях межкультурного общения (сопровождение туристических групп, обеспечение деловых переговоров, обеспечение переговоров официальных делегаций) (ПК-18);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информационно-лингвистическая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 (ПК-19);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методами формального и когнитивного моделирования естественного языка и методами создания метаязыков (ПК-20);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основными математико-статистическими методами обработки лингвистической информации с учетом элементов программирования и автоматической обработки лингвистических корпусов (ПК-21);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стандартными способами решения основных типов задач в области лингвистического обеспечения информационных и других прикладных систем (ПК-22);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(ПК-23);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способностью выдвигать гипотезы и последовательно развивать аргументацию в их защиту (ПК-24);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основами современных методов научного исследования, информационной и библиографической культурой (ПК-25);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владением стандартными методиками поиска, анализа и обработки материала исследования (ПК-26);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способностью оценить качество исследования в данной предметной области, соотнести новую информацию </w:t>
      </w:r>
      <w:proofErr w:type="gramStart"/>
      <w:r>
        <w:t>с</w:t>
      </w:r>
      <w:proofErr w:type="gramEnd"/>
      <w:r>
        <w:t xml:space="preserve"> уже </w:t>
      </w:r>
      <w:proofErr w:type="gramStart"/>
      <w:r>
        <w:t>имеющейся</w:t>
      </w:r>
      <w:proofErr w:type="gramEnd"/>
      <w:r>
        <w:t>, логично и последовательно представить результаты собственного исследования (ПК-27).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lastRenderedPageBreak/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6.2. Программа бакалавриата состоит из следующих блоков: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2"/>
      </w:pPr>
      <w:r>
        <w:t>Структура программы бакалавриата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right"/>
      </w:pPr>
      <w:r>
        <w:t>Таблица</w:t>
      </w:r>
    </w:p>
    <w:p w:rsidR="00EB5A35" w:rsidRDefault="00EB5A35">
      <w:pPr>
        <w:pStyle w:val="ConsPlusNormal"/>
        <w:jc w:val="both"/>
      </w:pPr>
    </w:p>
    <w:p w:rsidR="00EB5A35" w:rsidRDefault="00EB5A35">
      <w:pPr>
        <w:sectPr w:rsidR="00EB5A35" w:rsidSect="00E04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9"/>
        <w:gridCol w:w="4021"/>
        <w:gridCol w:w="2089"/>
        <w:gridCol w:w="2090"/>
      </w:tblGrid>
      <w:tr w:rsidR="00EB5A35">
        <w:tc>
          <w:tcPr>
            <w:tcW w:w="5460" w:type="dxa"/>
            <w:gridSpan w:val="2"/>
            <w:vMerge w:val="restart"/>
          </w:tcPr>
          <w:p w:rsidR="00EB5A35" w:rsidRDefault="00EB5A35">
            <w:pPr>
              <w:pStyle w:val="ConsPlusNormal"/>
              <w:jc w:val="center"/>
            </w:pPr>
            <w:r>
              <w:lastRenderedPageBreak/>
              <w:t>Структура программы бакалавриата</w:t>
            </w:r>
          </w:p>
        </w:tc>
        <w:tc>
          <w:tcPr>
            <w:tcW w:w="4179" w:type="dxa"/>
            <w:gridSpan w:val="2"/>
          </w:tcPr>
          <w:p w:rsidR="00EB5A35" w:rsidRDefault="00EB5A35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EB5A35">
        <w:tc>
          <w:tcPr>
            <w:tcW w:w="5460" w:type="dxa"/>
            <w:gridSpan w:val="2"/>
            <w:vMerge/>
          </w:tcPr>
          <w:p w:rsidR="00EB5A35" w:rsidRDefault="00EB5A35"/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EB5A35">
        <w:tc>
          <w:tcPr>
            <w:tcW w:w="1439" w:type="dxa"/>
          </w:tcPr>
          <w:p w:rsidR="00EB5A35" w:rsidRDefault="00EB5A35">
            <w:pPr>
              <w:pStyle w:val="ConsPlusNormal"/>
            </w:pPr>
            <w:r>
              <w:t>Блок 1</w:t>
            </w:r>
          </w:p>
        </w:tc>
        <w:tc>
          <w:tcPr>
            <w:tcW w:w="4021" w:type="dxa"/>
          </w:tcPr>
          <w:p w:rsidR="00EB5A35" w:rsidRDefault="00EB5A3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222 - 225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210 - 225</w:t>
            </w:r>
          </w:p>
        </w:tc>
      </w:tr>
      <w:tr w:rsidR="00EB5A35">
        <w:tc>
          <w:tcPr>
            <w:tcW w:w="1439" w:type="dxa"/>
            <w:vMerge w:val="restart"/>
          </w:tcPr>
          <w:p w:rsidR="00EB5A35" w:rsidRDefault="00EB5A35">
            <w:pPr>
              <w:pStyle w:val="ConsPlusNormal"/>
            </w:pPr>
          </w:p>
        </w:tc>
        <w:tc>
          <w:tcPr>
            <w:tcW w:w="4021" w:type="dxa"/>
          </w:tcPr>
          <w:p w:rsidR="00EB5A35" w:rsidRDefault="00EB5A35">
            <w:pPr>
              <w:pStyle w:val="ConsPlusNormal"/>
            </w:pPr>
            <w:r>
              <w:t>Базовая часть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108 - 126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108 - 126</w:t>
            </w:r>
          </w:p>
        </w:tc>
      </w:tr>
      <w:tr w:rsidR="00EB5A35">
        <w:tc>
          <w:tcPr>
            <w:tcW w:w="1439" w:type="dxa"/>
            <w:vMerge/>
          </w:tcPr>
          <w:p w:rsidR="00EB5A35" w:rsidRDefault="00EB5A35"/>
        </w:tc>
        <w:tc>
          <w:tcPr>
            <w:tcW w:w="4021" w:type="dxa"/>
          </w:tcPr>
          <w:p w:rsidR="00EB5A35" w:rsidRDefault="00EB5A3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99 - 114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99 - 102</w:t>
            </w:r>
          </w:p>
        </w:tc>
      </w:tr>
      <w:tr w:rsidR="00EB5A35">
        <w:tc>
          <w:tcPr>
            <w:tcW w:w="1439" w:type="dxa"/>
            <w:vMerge w:val="restart"/>
          </w:tcPr>
          <w:p w:rsidR="00EB5A35" w:rsidRDefault="00EB5A35">
            <w:pPr>
              <w:pStyle w:val="ConsPlusNormal"/>
            </w:pPr>
            <w:r>
              <w:t>Блок 2</w:t>
            </w:r>
          </w:p>
        </w:tc>
        <w:tc>
          <w:tcPr>
            <w:tcW w:w="4021" w:type="dxa"/>
          </w:tcPr>
          <w:p w:rsidR="00EB5A35" w:rsidRDefault="00EB5A35">
            <w:pPr>
              <w:pStyle w:val="ConsPlusNormal"/>
            </w:pPr>
            <w:r>
              <w:t>Практики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6 - 24</w:t>
            </w:r>
          </w:p>
        </w:tc>
      </w:tr>
      <w:tr w:rsidR="00EB5A35">
        <w:tc>
          <w:tcPr>
            <w:tcW w:w="1439" w:type="dxa"/>
            <w:vMerge/>
          </w:tcPr>
          <w:p w:rsidR="00EB5A35" w:rsidRDefault="00EB5A35"/>
        </w:tc>
        <w:tc>
          <w:tcPr>
            <w:tcW w:w="4021" w:type="dxa"/>
          </w:tcPr>
          <w:p w:rsidR="00EB5A35" w:rsidRDefault="00EB5A3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6 - 24</w:t>
            </w:r>
          </w:p>
        </w:tc>
      </w:tr>
      <w:tr w:rsidR="00EB5A35">
        <w:tc>
          <w:tcPr>
            <w:tcW w:w="1439" w:type="dxa"/>
            <w:vMerge w:val="restart"/>
          </w:tcPr>
          <w:p w:rsidR="00EB5A35" w:rsidRDefault="00EB5A35">
            <w:pPr>
              <w:pStyle w:val="ConsPlusNormal"/>
            </w:pPr>
            <w:r>
              <w:t>Блок 3</w:t>
            </w:r>
          </w:p>
        </w:tc>
        <w:tc>
          <w:tcPr>
            <w:tcW w:w="4021" w:type="dxa"/>
          </w:tcPr>
          <w:p w:rsidR="00EB5A35" w:rsidRDefault="00EB5A3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6 - 9</w:t>
            </w:r>
          </w:p>
        </w:tc>
      </w:tr>
      <w:tr w:rsidR="00EB5A35">
        <w:tc>
          <w:tcPr>
            <w:tcW w:w="1439" w:type="dxa"/>
            <w:vMerge/>
          </w:tcPr>
          <w:p w:rsidR="00EB5A35" w:rsidRDefault="00EB5A35"/>
        </w:tc>
        <w:tc>
          <w:tcPr>
            <w:tcW w:w="4021" w:type="dxa"/>
          </w:tcPr>
          <w:p w:rsidR="00EB5A35" w:rsidRDefault="00EB5A35">
            <w:pPr>
              <w:pStyle w:val="ConsPlusNormal"/>
            </w:pPr>
            <w:r>
              <w:t>Базовая часть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6 - 9</w:t>
            </w:r>
          </w:p>
        </w:tc>
      </w:tr>
      <w:tr w:rsidR="00EB5A35">
        <w:tc>
          <w:tcPr>
            <w:tcW w:w="5460" w:type="dxa"/>
            <w:gridSpan w:val="2"/>
          </w:tcPr>
          <w:p w:rsidR="00EB5A35" w:rsidRDefault="00EB5A35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089" w:type="dxa"/>
          </w:tcPr>
          <w:p w:rsidR="00EB5A35" w:rsidRDefault="00EB5A3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0" w:type="dxa"/>
          </w:tcPr>
          <w:p w:rsidR="00EB5A35" w:rsidRDefault="00EB5A35">
            <w:pPr>
              <w:pStyle w:val="ConsPlusNormal"/>
              <w:jc w:val="center"/>
            </w:pPr>
            <w:r>
              <w:t>240</w:t>
            </w:r>
          </w:p>
        </w:tc>
      </w:tr>
    </w:tbl>
    <w:p w:rsidR="00EB5A35" w:rsidRDefault="00EB5A35">
      <w:pPr>
        <w:sectPr w:rsidR="00EB5A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Способы проведения учебной практики: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стационарная.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педагогическая практика).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Способы проведения производственной практики: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стационарная.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lastRenderedPageBreak/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EB5A35" w:rsidRDefault="00EB5A35">
      <w:pPr>
        <w:pStyle w:val="ConsPlusNormal"/>
        <w:jc w:val="center"/>
      </w:pPr>
      <w:r>
        <w:t>ПРОГРАММЫ БАКАЛАВРИАТА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организации, как на территории организации, так и вне ее.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4323),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</w:t>
      </w:r>
      <w:r>
        <w:lastRenderedPageBreak/>
        <w:t>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</w:t>
      </w:r>
      <w:r>
        <w:lastRenderedPageBreak/>
        <w:t xml:space="preserve">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EB5A35" w:rsidRDefault="00EB5A35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jc w:val="both"/>
      </w:pPr>
    </w:p>
    <w:p w:rsidR="00EB5A35" w:rsidRDefault="00EB5A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702" w:rsidRDefault="00EB5A35">
      <w:bookmarkStart w:id="1" w:name="_GoBack"/>
      <w:bookmarkEnd w:id="1"/>
    </w:p>
    <w:sectPr w:rsidR="005C5702" w:rsidSect="006842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5"/>
    <w:rsid w:val="003F76B7"/>
    <w:rsid w:val="008754B0"/>
    <w:rsid w:val="00E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633C0BB20081E42EFAA0C7CD592663C70FCDE336196477B469CA71021FFA6B8263848C5D40F6AD18A493AF34B4F1FD2B72CA6143BB8EABA7FH" TargetMode="External"/><Relationship Id="rId13" Type="http://schemas.openxmlformats.org/officeDocument/2006/relationships/hyperlink" Target="consultantplus://offline/ref=AD2633C0BB20081E42EFAA0C7CD592663C74FADA3C6D96477B469CA71021FFA6B8263848C5D40D6EDF8A493AF34B4F1FD2B72CA6143BB8EABA7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2633C0BB20081E42EFAA0C7CD592663C70FCDB3A6096477B469CA71021FFA6AA266044C6D4136FD89F1F6BB6B177H" TargetMode="External"/><Relationship Id="rId12" Type="http://schemas.openxmlformats.org/officeDocument/2006/relationships/hyperlink" Target="consultantplus://offline/ref=AD2633C0BB20081E42EFAA0C7CD592663C70F8DB3B6396477B469CA71021FFA6B8263848C5D40D6ED98A493AF34B4F1FD2B72CA6143BB8EABA7F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2633C0BB20081E42EFAA0C7CD592663F79FDD93B6D96477B469CA71021FFA6B8263848C5D40D6BDB8A493AF34B4F1FD2B72CA6143BB8EABA7FH" TargetMode="External"/><Relationship Id="rId11" Type="http://schemas.openxmlformats.org/officeDocument/2006/relationships/hyperlink" Target="consultantplus://offline/ref=AD2633C0BB20081E42EFAA0C7CD592663F79FCD63F6C96477B469CA71021FFA6AA266044C6D4136FD89F1F6BB6B17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2633C0BB20081E42EFAA0C7CD592663E70F9D8336396477B469CA71021FFA6AA266044C6D4136FD89F1F6BB6B17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2633C0BB20081E42EFAA0C7CD592663F78FCD93F6696477B469CA71021FFA6B8263848C5D40D6DD88A493AF34B4F1FD2B72CA6143BB8EABA7FH" TargetMode="External"/><Relationship Id="rId14" Type="http://schemas.openxmlformats.org/officeDocument/2006/relationships/hyperlink" Target="consultantplus://offline/ref=AD2633C0BB20081E42EFAA0C7CD592663C74F8DE3A6596477B469CA71021FFA6B8263848C5D40D6EDB8A493AF34B4F1FD2B72CA6143BB8EABA7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Гуля Анатольевна</dc:creator>
  <cp:lastModifiedBy>Аминова Гуля Анатольевна</cp:lastModifiedBy>
  <cp:revision>1</cp:revision>
  <dcterms:created xsi:type="dcterms:W3CDTF">2019-01-30T07:59:00Z</dcterms:created>
  <dcterms:modified xsi:type="dcterms:W3CDTF">2019-01-30T07:59:00Z</dcterms:modified>
</cp:coreProperties>
</file>