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0" w:rsidRPr="00A537E0" w:rsidRDefault="00A537E0" w:rsidP="00A537E0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A537E0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A537E0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A537E0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России) от 28 мая 2014 г. N 594 г. Москва</w:t>
      </w:r>
    </w:p>
    <w:p w:rsidR="00A537E0" w:rsidRPr="00A537E0" w:rsidRDefault="00A537E0" w:rsidP="00A537E0">
      <w:pPr>
        <w:shd w:val="clear" w:color="auto" w:fill="FFFFFF"/>
        <w:spacing w:after="0" w:line="240" w:lineRule="auto"/>
        <w:outlineLvl w:val="2"/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</w:pPr>
      <w:r w:rsidRPr="00A537E0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</w:t>
      </w:r>
      <w:hyperlink r:id="rId5" w:anchor="comments" w:history="1">
        <w:r w:rsidRPr="00A537E0">
          <w:rPr>
            <w:rFonts w:ascii="Roboto Condensed" w:eastAsia="Times New Roman" w:hAnsi="Roboto Condensed" w:cs="Times New Roman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A537E0" w:rsidRPr="00A537E0" w:rsidRDefault="00A537E0" w:rsidP="00A537E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</w:pPr>
      <w:r w:rsidRPr="00A537E0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pict/>
      </w:r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t>Работа с документами:</w:t>
      </w:r>
    </w:p>
    <w:p w:rsidR="00A537E0" w:rsidRPr="00A537E0" w:rsidRDefault="00A537E0" w:rsidP="00A537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</w:pPr>
      <w:hyperlink r:id="rId6" w:history="1">
        <w:r w:rsidRPr="00A537E0">
          <w:rPr>
            <w:rFonts w:ascii="Roboto" w:eastAsia="Times New Roman" w:hAnsi="Roboto" w:cs="Times New Roman"/>
            <w:noProof/>
            <w:color w:val="344A64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21F40A1E" wp14:editId="2A34F365">
              <wp:extent cx="137795" cy="137795"/>
              <wp:effectExtent l="0" t="0" r="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37E0">
          <w:rPr>
            <w:rFonts w:ascii="Roboto" w:eastAsia="Times New Roman" w:hAnsi="Roboto" w:cs="Times New Roman"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A537E0">
          <w:rPr>
            <w:rFonts w:ascii="Roboto" w:eastAsia="Times New Roman" w:hAnsi="Roboto" w:cs="Times New Roman"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Word</w:t>
        </w:r>
        <w:proofErr w:type="spellEnd"/>
      </w:hyperlink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br/>
      </w:r>
      <w:hyperlink r:id="rId8" w:history="1">
        <w:r w:rsidRPr="00A537E0">
          <w:rPr>
            <w:rFonts w:ascii="Roboto" w:eastAsia="Times New Roman" w:hAnsi="Roboto" w:cs="Times New Roman"/>
            <w:noProof/>
            <w:color w:val="344A64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 wp14:anchorId="4C6A4301" wp14:editId="23996AFC">
              <wp:extent cx="137795" cy="137795"/>
              <wp:effectExtent l="0" t="0" r="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37E0">
          <w:rPr>
            <w:rFonts w:ascii="Roboto" w:eastAsia="Times New Roman" w:hAnsi="Roboto" w:cs="Times New Roman"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Версия для печати</w:t>
        </w:r>
      </w:hyperlink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br/>
      </w:r>
    </w:p>
    <w:p w:rsidR="00A537E0" w:rsidRPr="00A537E0" w:rsidRDefault="00A537E0" w:rsidP="00A537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</w:pPr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pict/>
      </w:r>
      <w:r w:rsidRPr="00A537E0">
        <w:rPr>
          <w:rFonts w:ascii="Roboto" w:eastAsia="Times New Roman" w:hAnsi="Roboto" w:cs="Times New Roman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B049BD6" wp14:editId="0ADB4526">
            <wp:extent cx="137795" cy="137795"/>
            <wp:effectExtent l="0" t="0" r="0" b="0"/>
            <wp:docPr id="3" name="Рисунок 3" descr="Twitter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0">
        <w:rPr>
          <w:rFonts w:ascii="Roboto" w:eastAsia="Times New Roman" w:hAnsi="Roboto" w:cs="Times New Roman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8F88592" wp14:editId="1128DF73">
            <wp:extent cx="137795" cy="137795"/>
            <wp:effectExtent l="0" t="0" r="0" b="0"/>
            <wp:docPr id="4" name="Рисунок 4" descr="ВКонтакте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Контакте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0">
        <w:rPr>
          <w:rFonts w:ascii="Roboto" w:eastAsia="Times New Roman" w:hAnsi="Roboto" w:cs="Times New Roman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810F519" wp14:editId="6D97B45E">
            <wp:extent cx="137795" cy="137795"/>
            <wp:effectExtent l="0" t="0" r="0" b="0"/>
            <wp:docPr id="5" name="Рисунок 5" descr="Facebook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7E0">
        <w:rPr>
          <w:rFonts w:ascii="Roboto" w:eastAsia="Times New Roman" w:hAnsi="Roboto" w:cs="Times New Roman"/>
          <w:noProof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FEF76C0" wp14:editId="50ABA6A6">
            <wp:extent cx="137795" cy="137795"/>
            <wp:effectExtent l="0" t="0" r="0" b="0"/>
            <wp:docPr id="6" name="Рисунок 6" descr="Google+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+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E0" w:rsidRPr="00A537E0" w:rsidRDefault="00A537E0" w:rsidP="00A537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</w:pPr>
    </w:p>
    <w:p w:rsidR="00A537E0" w:rsidRPr="00A537E0" w:rsidRDefault="00A537E0" w:rsidP="00A537E0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</w:pPr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t>Дополнительно:</w:t>
      </w:r>
    </w:p>
    <w:p w:rsidR="00A537E0" w:rsidRPr="00A537E0" w:rsidRDefault="00A537E0" w:rsidP="00A537E0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373737"/>
          <w:sz w:val="17"/>
          <w:szCs w:val="17"/>
          <w:lang w:eastAsia="ru-RU"/>
        </w:rPr>
      </w:pPr>
      <w:r w:rsidRPr="00A537E0">
        <w:rPr>
          <w:rFonts w:ascii="Roboto" w:eastAsia="Times New Roman" w:hAnsi="Roboto" w:cs="Times New Roman"/>
          <w:vanish/>
          <w:color w:val="B5B5B5"/>
          <w:sz w:val="18"/>
          <w:szCs w:val="18"/>
          <w:lang w:eastAsia="ru-RU"/>
        </w:rPr>
        <w:t>Дата официальной публикации:</w:t>
      </w:r>
      <w:r w:rsidRPr="00A537E0">
        <w:rPr>
          <w:rFonts w:ascii="Roboto" w:eastAsia="Times New Roman" w:hAnsi="Roboto" w:cs="Times New Roman"/>
          <w:vanish/>
          <w:color w:val="373737"/>
          <w:sz w:val="17"/>
          <w:szCs w:val="17"/>
          <w:lang w:eastAsia="ru-RU"/>
        </w:rPr>
        <w:t>19 августа 2014 г.</w:t>
      </w:r>
    </w:p>
    <w:p w:rsidR="00A537E0" w:rsidRPr="00A537E0" w:rsidRDefault="00A537E0" w:rsidP="00A537E0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</w:pPr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t>Опубликовано:</w:t>
      </w:r>
      <w:r w:rsidRPr="00A537E0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 19 августа 2014 г. в </w:t>
      </w:r>
      <w:hyperlink r:id="rId18" w:history="1">
        <w:r w:rsidRPr="00A537E0">
          <w:rPr>
            <w:rFonts w:ascii="Roboto" w:eastAsia="Times New Roman" w:hAnsi="Roboto" w:cs="Times New Roman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№6458</w:t>
        </w:r>
        <w:proofErr w:type="gramStart"/>
      </w:hyperlink>
      <w:r w:rsidRPr="00A537E0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 </w:t>
      </w:r>
      <w:r w:rsidRPr="00A537E0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br/>
      </w:r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t>В</w:t>
      </w:r>
      <w:proofErr w:type="gramEnd"/>
      <w:r w:rsidRPr="00A537E0">
        <w:rPr>
          <w:rFonts w:ascii="Roboto" w:eastAsia="Times New Roman" w:hAnsi="Roboto" w:cs="Times New Roman"/>
          <w:color w:val="B5B5B5"/>
          <w:sz w:val="18"/>
          <w:szCs w:val="18"/>
          <w:lang w:eastAsia="ru-RU"/>
        </w:rPr>
        <w:t>ступает в силу:</w:t>
      </w:r>
      <w:r w:rsidRPr="00A537E0">
        <w:rPr>
          <w:rFonts w:ascii="Roboto" w:eastAsia="Times New Roman" w:hAnsi="Roboto" w:cs="Times New Roman"/>
          <w:color w:val="373737"/>
          <w:sz w:val="17"/>
          <w:szCs w:val="17"/>
          <w:lang w:eastAsia="ru-RU"/>
        </w:rPr>
        <w:t xml:space="preserve">30 августа 2014 г. 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Зарегистрирован в Минюсте РФ 29 июля 2014 г.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Регистрационный N 33335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соответствии с частью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2014, N 6, ст. 562, ст. 566; N 19, ст. 2289) и пунктом 5.2.7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2014, N 2, ст. 126; N 6, ст. 582; N 19, ст. 2289), </w:t>
      </w: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приказываю:</w:t>
      </w:r>
      <w:proofErr w:type="gramEnd"/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Министр Д. Ливанов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u w:val="single"/>
          <w:lang w:eastAsia="ru-RU"/>
        </w:rPr>
        <w:t>Приложение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jc w:val="center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примерная программа).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2. Примерные программы разрабатываются 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: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основным общеобразовательным программам (образовательным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</w:t>
      </w:r>
      <w:proofErr w:type="spell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бакалавриата</w:t>
      </w:r>
      <w:proofErr w:type="spell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, программам </w:t>
      </w:r>
      <w:proofErr w:type="spell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специалитета</w:t>
      </w:r>
      <w:proofErr w:type="spell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, программам магистратуры,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ассисентуры</w:t>
      </w:r>
      <w:proofErr w:type="spell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-стажировки);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основным образовательным программам в части учебных предметов, курсов, дисциплин (модулей).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 Примерные основные образовательные программы разрабатываются учетом их уровня и направленности на основе федеральных государственных образовательных стандартов, если иное не установлено Федеральным законом от 29 декабря 2012 г. N 273-ФЗ "Об образовании в Российской Федерации"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 Примерные программы разрабатываются на русском языке и в соответствии с настоящим Порядком.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lastRenderedPageBreak/>
        <w:t>II. Проведение экспертизы проектов примерных основных общеобразовательных программ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информационно-телекоммуникационной сети "Интернет" (далее - сайт) для информирования общественности.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3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4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9. Проект примерной программы с прилагаемым экспертным заключением рассматривается на заседании совета в течение 30 рабочих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.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дней со дня их получения советом.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10. По результатам рассмотрения проекта совет принимает одно из следующих решений: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одобрить примерную программу;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одобрить примерную программу и перевести предыдущую примерную программу в раздел архива в реестре;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в) отклонить проект примерной программы;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Министерстве образования и науки Российской Федерации.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III. Проведение экспертизы проектов примерных основных профессиональных программ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15. 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 в органах по контролю за оборотом наркотических средств и психотропных веществ, примерных программ </w:t>
      </w:r>
      <w:proofErr w:type="spell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ассистентуры</w:t>
      </w:r>
      <w:proofErr w:type="spell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 правовому регулированию в сфере здравоохранения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5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в информационно-телекоммуникационной сети "Интернет" (далее - сайт) для информирования общественности.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6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17.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одобрить примерную программу;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одобрить примерную программу и перевести предыдущую примерную программу в раздел архива в реестре;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в) отклонить проект примерной программы;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20. Решение учебно-методического объединения в систему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IV. Ведение реестра примерных программ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22. Реестр примерных программ (далее - реестр) является государственной информационной системой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7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23. Информация, содержащаяся в реестре, является общедоступной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8</w:t>
      </w: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24. Организации, которым предоставляется право ведения реестра, устанавливаются Министерством образования и науки Российской Федерации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9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(далее - оператор).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25. Ведение реестра осуществляется оператором путем: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внесения в реестр примерных программ, реквизитов решения об одобрении примерной программы, перевода примерных программ в раздел архива, по которой принято такое решение, реквизитов решения о переводе примерной программы в раздел архива;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технического обеспечения функционирования реестра;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автоматизированной обработки информации, содержащейся в реестре;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 xml:space="preserve">предоставления доступа к </w:t>
      </w:r>
      <w:proofErr w:type="gramStart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содержащимся</w:t>
      </w:r>
      <w:proofErr w:type="gramEnd"/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реестре примерным программ;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обеспечения сохранности информации, содержащейся в реестре;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обеспечения защиты информации, содержащейся в реестре.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28. Оператор размещает примерную программу в реестре в течение 5 рабочих дней со дня ее поступления.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A537E0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9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Пункт 10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12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7598: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6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87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10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A537E0" w:rsidRPr="00A537E0" w:rsidRDefault="00A537E0" w:rsidP="00A537E0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11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A537E0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 xml:space="preserve"> N 19, ст. 2289).</w:t>
      </w:r>
    </w:p>
    <w:p w:rsidR="000749A9" w:rsidRDefault="000749A9">
      <w:bookmarkStart w:id="0" w:name="_GoBack"/>
      <w:bookmarkEnd w:id="0"/>
    </w:p>
    <w:sectPr w:rsidR="0007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E0"/>
    <w:rsid w:val="000749A9"/>
    <w:rsid w:val="00A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45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9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1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36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77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08/19/poryadok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4/08/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08/19/poryadok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08/19/poryadok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08/19/poryadok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08/19/poryadok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08/19/poryadok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08/19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Копылова Надежда Владимировна</cp:lastModifiedBy>
  <cp:revision>1</cp:revision>
  <dcterms:created xsi:type="dcterms:W3CDTF">2015-03-13T05:22:00Z</dcterms:created>
  <dcterms:modified xsi:type="dcterms:W3CDTF">2015-03-13T05:23:00Z</dcterms:modified>
</cp:coreProperties>
</file>