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00" w:rsidRDefault="005E3E93" w:rsidP="003562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Билеты </w:t>
      </w:r>
      <w:r w:rsidR="00E61CCB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>специалистов и служащих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478"/>
      </w:tblGrid>
      <w:tr w:rsidR="004A1C00" w:rsidRPr="00EB7408" w:rsidTr="00EB7408">
        <w:tc>
          <w:tcPr>
            <w:tcW w:w="2694" w:type="dxa"/>
          </w:tcPr>
          <w:p w:rsidR="004A1C00" w:rsidRPr="00EB7408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408">
              <w:rPr>
                <w:rFonts w:ascii="Times New Roman" w:hAnsi="Times New Roman"/>
                <w:b/>
                <w:sz w:val="20"/>
                <w:szCs w:val="20"/>
              </w:rPr>
              <w:t xml:space="preserve">Билеты </w:t>
            </w:r>
          </w:p>
        </w:tc>
        <w:tc>
          <w:tcPr>
            <w:tcW w:w="7478" w:type="dxa"/>
          </w:tcPr>
          <w:p w:rsidR="004A1C00" w:rsidRPr="00EB7408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408">
              <w:rPr>
                <w:rFonts w:ascii="Times New Roman" w:hAnsi="Times New Roman"/>
                <w:b/>
                <w:sz w:val="20"/>
                <w:szCs w:val="20"/>
              </w:rPr>
              <w:t xml:space="preserve">Ответы </w:t>
            </w:r>
          </w:p>
        </w:tc>
      </w:tr>
      <w:tr w:rsidR="002B35E6" w:rsidRPr="00EB7408" w:rsidTr="00EB7408">
        <w:tc>
          <w:tcPr>
            <w:tcW w:w="2694" w:type="dxa"/>
          </w:tcPr>
          <w:p w:rsidR="002B35E6" w:rsidRPr="004F055F" w:rsidRDefault="002B35E6" w:rsidP="00E44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БИЛЕТ № 1</w:t>
            </w:r>
          </w:p>
          <w:p w:rsidR="002B35E6" w:rsidRPr="004F055F" w:rsidRDefault="002B35E6" w:rsidP="00E44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5E6" w:rsidRPr="004F055F" w:rsidRDefault="002B35E6" w:rsidP="00E44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Назовите цели </w:t>
            </w:r>
            <w:proofErr w:type="spellStart"/>
            <w:r w:rsidR="00004384">
              <w:rPr>
                <w:rFonts w:ascii="Times New Roman" w:hAnsi="Times New Roman"/>
                <w:sz w:val="24"/>
                <w:szCs w:val="24"/>
              </w:rPr>
              <w:t>СурГУ</w:t>
            </w:r>
            <w:proofErr w:type="spellEnd"/>
          </w:p>
          <w:p w:rsidR="002B35E6" w:rsidRPr="004F055F" w:rsidRDefault="002B35E6" w:rsidP="00E44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2B35E6" w:rsidRPr="004F055F" w:rsidRDefault="002B35E6" w:rsidP="00E449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Устав </w:t>
            </w:r>
            <w:proofErr w:type="spellStart"/>
            <w:r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СурГУ</w:t>
            </w:r>
            <w:proofErr w:type="spellEnd"/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B35E6" w:rsidRPr="004F055F" w:rsidRDefault="002B35E6" w:rsidP="00D0419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Основными целями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учреждения являются образовательная деятельность по образовательным программам высшего образования инженерной, </w:t>
            </w:r>
            <w:proofErr w:type="gramStart"/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гуманитарной, медицинской и экономической направленности и научная деятельность. В цели учреждения также входит удовлетворение потребностей граждан в дошкольном, начальном общем, основном общем и среднем общем образовании, а также в профессиональном обучении и дополнительном образовании.  </w:t>
            </w:r>
          </w:p>
        </w:tc>
      </w:tr>
      <w:tr w:rsidR="002B35E6" w:rsidRPr="00EB7408" w:rsidTr="00EB7408">
        <w:tc>
          <w:tcPr>
            <w:tcW w:w="2694" w:type="dxa"/>
          </w:tcPr>
          <w:p w:rsidR="002B35E6" w:rsidRPr="000657EF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7EF">
              <w:rPr>
                <w:rFonts w:ascii="Times New Roman" w:hAnsi="Times New Roman"/>
                <w:b/>
                <w:sz w:val="24"/>
                <w:szCs w:val="24"/>
              </w:rPr>
              <w:t>БИЛЕТ № 2</w:t>
            </w:r>
          </w:p>
          <w:p w:rsidR="002B35E6" w:rsidRPr="000657EF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5E6" w:rsidRPr="000657EF" w:rsidRDefault="002B35E6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5E6" w:rsidRPr="000657EF" w:rsidRDefault="002B35E6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EF">
              <w:rPr>
                <w:rFonts w:ascii="Times New Roman" w:hAnsi="Times New Roman"/>
                <w:sz w:val="24"/>
                <w:szCs w:val="24"/>
              </w:rPr>
              <w:t xml:space="preserve"> Какими документами регламентируется организация образовательного процесса в </w:t>
            </w:r>
            <w:proofErr w:type="spellStart"/>
            <w:r w:rsidR="00004384">
              <w:rPr>
                <w:rFonts w:ascii="Times New Roman" w:hAnsi="Times New Roman"/>
                <w:sz w:val="24"/>
                <w:szCs w:val="24"/>
              </w:rPr>
              <w:t>СурГУ</w:t>
            </w:r>
            <w:proofErr w:type="spellEnd"/>
            <w:r w:rsidRPr="000657EF">
              <w:rPr>
                <w:rFonts w:ascii="Times New Roman" w:hAnsi="Times New Roman"/>
                <w:sz w:val="24"/>
                <w:szCs w:val="24"/>
              </w:rPr>
              <w:t xml:space="preserve"> и что входит в основную образовательную программу?</w:t>
            </w:r>
          </w:p>
          <w:p w:rsidR="002B35E6" w:rsidRPr="000657EF" w:rsidRDefault="002B35E6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5E6" w:rsidRPr="000657EF" w:rsidRDefault="002B35E6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5E6" w:rsidRPr="000657EF" w:rsidRDefault="002B35E6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5E6" w:rsidRPr="000657EF" w:rsidRDefault="002B35E6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5E6" w:rsidRPr="000657EF" w:rsidRDefault="002B35E6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2B35E6" w:rsidRPr="000657EF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7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Организация  образовательного  процесса  в  Университете  по  основным </w:t>
            </w:r>
            <w:r w:rsidRPr="000657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образовательным программам высшего профессионального образования </w:t>
            </w:r>
            <w:r w:rsidRPr="000657E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регламентируется</w:t>
            </w:r>
            <w:r w:rsidRPr="000657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57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расписанием занятий и образовательной программой.</w:t>
            </w:r>
          </w:p>
          <w:p w:rsidR="002B35E6" w:rsidRPr="000657EF" w:rsidRDefault="002B35E6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57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Основная  образовательная  программа высшего профессионального образования включает в себя  учебный  план,  рабочие  программы  учебных  курсов,  предметов, дисциплин  (модулей)  и  другие  материалы,  обеспечивающие  качество  подготовки обучающихся,  а  также  программы  учебной  и  производственной  практики,  календарный учебный  график  и  методические  материалы,  обеспечивающие  реализацию соответствующей  образовательной  технологии,  разрабатываемой  Университетом самостоятельно  с  учетом  требований  рынка  труда  на  основе  федерального государственного  образовательного  стандарта  высшего  профессионального  образования, примерных  образовательных  программ,  разработку  которых  осуществляет  федеральный орган исполнительной  власти, осуществляющий функции по  выработке  государственной политики и нормативно-правовому регулированию в сфере образования.</w:t>
            </w:r>
          </w:p>
        </w:tc>
      </w:tr>
      <w:tr w:rsidR="002B35E6" w:rsidRPr="00EB7408" w:rsidTr="00EB7408">
        <w:tc>
          <w:tcPr>
            <w:tcW w:w="2694" w:type="dxa"/>
          </w:tcPr>
          <w:p w:rsidR="002B35E6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БИЛЕТ № 3</w:t>
            </w:r>
          </w:p>
          <w:p w:rsidR="002B35E6" w:rsidRPr="004F055F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5E6" w:rsidRPr="004F055F" w:rsidRDefault="002B35E6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Какие стратегические цели стоят перед </w:t>
            </w:r>
            <w:proofErr w:type="spellStart"/>
            <w:r w:rsidR="00004384">
              <w:rPr>
                <w:rFonts w:ascii="Times New Roman" w:hAnsi="Times New Roman"/>
                <w:sz w:val="24"/>
                <w:szCs w:val="24"/>
              </w:rPr>
              <w:t>СурГУ</w:t>
            </w:r>
            <w:proofErr w:type="spellEnd"/>
            <w:r w:rsidRPr="004F055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B35E6" w:rsidRPr="004F055F" w:rsidRDefault="002B35E6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5E6" w:rsidRPr="004F055F" w:rsidRDefault="002B35E6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5E6" w:rsidRPr="004F055F" w:rsidRDefault="002B35E6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5E6" w:rsidRPr="004F055F" w:rsidRDefault="002B35E6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5E6" w:rsidRPr="004F055F" w:rsidRDefault="002B35E6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5E6" w:rsidRPr="004F055F" w:rsidRDefault="002B35E6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5E6" w:rsidRPr="004F055F" w:rsidRDefault="002B35E6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2B35E6" w:rsidRPr="004F055F" w:rsidRDefault="002B35E6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«Стратегия развития </w:t>
            </w:r>
            <w:proofErr w:type="spellStart"/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государственного университета»</w:t>
            </w:r>
          </w:p>
          <w:p w:rsidR="002B35E6" w:rsidRPr="004F055F" w:rsidRDefault="002B35E6" w:rsidP="00DC7F5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 университетом стоят следующие стратегические цели: </w:t>
            </w:r>
          </w:p>
          <w:p w:rsidR="002B35E6" w:rsidRPr="004F055F" w:rsidRDefault="002B35E6" w:rsidP="00DC7F5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в области развития образования – повышение спроса на услуги образовательной деятельности университета;</w:t>
            </w:r>
          </w:p>
          <w:p w:rsidR="002B35E6" w:rsidRPr="004F055F" w:rsidRDefault="002B35E6" w:rsidP="00EB740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развитии инновационной деятельности университета –  формирование эффективной инновационной среды </w:t>
            </w:r>
            <w:proofErr w:type="spellStart"/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государственного университета. При этом под эффективной инновационной средой понимается совокупность внутренних процессов университета, обеспечивающих достижение цели коммерциализации результатов интеллектуального труда учёных </w:t>
            </w:r>
            <w:proofErr w:type="spellStart"/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государственного университета путём учреждения приносящих доход малых инновационных предприятий; </w:t>
            </w:r>
          </w:p>
          <w:p w:rsidR="002B35E6" w:rsidRPr="004F055F" w:rsidRDefault="002B35E6" w:rsidP="00EB740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в развитии опытно-конструкторской, включая трансферт технологий, деятельности университета – повышение результативности прикладных научно-исследовательских работ;</w:t>
            </w:r>
          </w:p>
          <w:p w:rsidR="002B35E6" w:rsidRPr="004F055F" w:rsidRDefault="002B35E6" w:rsidP="00EB740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в развитии научно-исследовательской деятельности университета –  увеличение объёмов выполняющихся научно-исследовательских работ;</w:t>
            </w:r>
          </w:p>
          <w:p w:rsidR="002B35E6" w:rsidRPr="004F055F" w:rsidRDefault="002B35E6" w:rsidP="00EB740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развитии спортивно-оздоровительной деятельности – формирование и саморазвитие культуры здоровья и спортивной </w:t>
            </w: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культуры личности;</w:t>
            </w:r>
          </w:p>
          <w:p w:rsidR="002B35E6" w:rsidRPr="004F055F" w:rsidRDefault="002B35E6" w:rsidP="00B958DA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воспитательной работе университета – формирование позитивной молодёжной культуры </w:t>
            </w:r>
            <w:proofErr w:type="spellStart"/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государственного университета.</w:t>
            </w:r>
          </w:p>
        </w:tc>
      </w:tr>
      <w:tr w:rsidR="002B35E6" w:rsidRPr="00EB7408" w:rsidTr="00EB7408">
        <w:tc>
          <w:tcPr>
            <w:tcW w:w="2694" w:type="dxa"/>
          </w:tcPr>
          <w:p w:rsidR="002B35E6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БИЛЕТ № 4</w:t>
            </w:r>
          </w:p>
          <w:p w:rsidR="002B35E6" w:rsidRPr="004F055F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5E6" w:rsidRPr="004F055F" w:rsidRDefault="002B35E6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Каким документом урегулировано поведение сотрудников СурГУ в процессе труда применительно к условиям работы?</w:t>
            </w:r>
          </w:p>
        </w:tc>
        <w:tc>
          <w:tcPr>
            <w:tcW w:w="7478" w:type="dxa"/>
          </w:tcPr>
          <w:p w:rsidR="002B35E6" w:rsidRPr="004F055F" w:rsidRDefault="002B35E6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B35E6" w:rsidRPr="004B7271" w:rsidRDefault="002B35E6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Поведение сотрудников </w:t>
            </w:r>
            <w:proofErr w:type="spellStart"/>
            <w:r w:rsidRPr="004B7271">
              <w:rPr>
                <w:rFonts w:ascii="Times New Roman" w:hAnsi="Times New Roman"/>
                <w:sz w:val="24"/>
                <w:szCs w:val="24"/>
                <w:lang w:eastAsia="ru-RU"/>
              </w:rPr>
              <w:t>СурГУ</w:t>
            </w:r>
            <w:proofErr w:type="spellEnd"/>
            <w:r w:rsidRPr="004B72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процессе труда применительно к условиям работы</w:t>
            </w:r>
            <w:r w:rsidRPr="004B7271">
              <w:t xml:space="preserve"> </w:t>
            </w:r>
            <w:r w:rsidRPr="004B7271">
              <w:rPr>
                <w:rFonts w:ascii="Times New Roman" w:hAnsi="Times New Roman"/>
                <w:sz w:val="24"/>
                <w:szCs w:val="24"/>
                <w:lang w:eastAsia="ru-RU"/>
              </w:rPr>
              <w:t>урегулировано</w:t>
            </w:r>
          </w:p>
          <w:p w:rsidR="002B35E6" w:rsidRPr="004F055F" w:rsidRDefault="002B35E6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Правилами внутреннего трудового распорядка</w:t>
            </w: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 ВО  ХМАО-Югры «</w:t>
            </w:r>
            <w:proofErr w:type="spellStart"/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государственный университет»</w:t>
            </w:r>
          </w:p>
          <w:p w:rsidR="002B35E6" w:rsidRPr="004F055F" w:rsidRDefault="002B35E6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5E6" w:rsidRPr="00EB7408" w:rsidTr="00EB7408">
        <w:tc>
          <w:tcPr>
            <w:tcW w:w="2694" w:type="dxa"/>
          </w:tcPr>
          <w:p w:rsidR="002B35E6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БИЛЕТ № 5</w:t>
            </w:r>
          </w:p>
          <w:p w:rsidR="002B35E6" w:rsidRPr="004F055F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5E6" w:rsidRPr="004F055F" w:rsidRDefault="002B35E6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Перечислите обязанности сотрудников </w:t>
            </w:r>
            <w:proofErr w:type="spellStart"/>
            <w:r w:rsidRPr="004F055F">
              <w:rPr>
                <w:rFonts w:ascii="Times New Roman" w:hAnsi="Times New Roman"/>
                <w:sz w:val="24"/>
                <w:szCs w:val="24"/>
              </w:rPr>
              <w:t>СурГУ</w:t>
            </w:r>
            <w:proofErr w:type="spellEnd"/>
          </w:p>
        </w:tc>
        <w:tc>
          <w:tcPr>
            <w:tcW w:w="7478" w:type="dxa"/>
          </w:tcPr>
          <w:p w:rsidR="002B35E6" w:rsidRPr="004F055F" w:rsidRDefault="002B35E6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«Правила внутреннего трудового распорядка СурГУ»</w:t>
            </w:r>
          </w:p>
          <w:p w:rsidR="002B35E6" w:rsidRPr="004F055F" w:rsidRDefault="002B35E6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Все сотрудники университета обязаны:</w:t>
            </w:r>
          </w:p>
          <w:p w:rsidR="002B35E6" w:rsidRPr="004F055F" w:rsidRDefault="002B35E6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-добросовестно выполнять свои трудовые обязанности, возложенные на них трудовым договором;</w:t>
            </w:r>
          </w:p>
          <w:p w:rsidR="002B35E6" w:rsidRPr="004F055F" w:rsidRDefault="002B35E6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-соблюдать правила внутреннего распорядка;</w:t>
            </w:r>
          </w:p>
          <w:p w:rsidR="002B35E6" w:rsidRPr="004F055F" w:rsidRDefault="002B35E6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-соблюдать трудовую дисциплину;</w:t>
            </w:r>
          </w:p>
          <w:p w:rsidR="002B35E6" w:rsidRPr="004F055F" w:rsidRDefault="002B35E6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-выполнять установленные нормы труда;</w:t>
            </w:r>
          </w:p>
          <w:p w:rsidR="002B35E6" w:rsidRPr="004F055F" w:rsidRDefault="002B35E6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-соблюдать требования по охране труда и обеспечению безопасности труда;</w:t>
            </w:r>
          </w:p>
          <w:p w:rsidR="002B35E6" w:rsidRPr="004F055F" w:rsidRDefault="002B35E6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-бережно относиться к имуществу работодателя и других работников;</w:t>
            </w:r>
          </w:p>
          <w:p w:rsidR="002B35E6" w:rsidRPr="004F055F" w:rsidRDefault="002B35E6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-незамедлительно сообщать работодателю либо непосредственному руководителю о возникновении ситуаций, представляющих угрозу жизни и здоровья людей, сохранности имущества;</w:t>
            </w:r>
          </w:p>
          <w:p w:rsidR="002B35E6" w:rsidRPr="00B958DA" w:rsidRDefault="002B35E6" w:rsidP="00B95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-сдать подписанный уполномоченными лицами обходной лист в бухгалтерию СурГУ при увольнении. </w:t>
            </w:r>
          </w:p>
        </w:tc>
      </w:tr>
      <w:tr w:rsidR="002B35E6" w:rsidRPr="00EB7408" w:rsidTr="00EB7408">
        <w:tc>
          <w:tcPr>
            <w:tcW w:w="2694" w:type="dxa"/>
          </w:tcPr>
          <w:p w:rsidR="002B35E6" w:rsidRPr="004F055F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БИЛЕТ № 6</w:t>
            </w:r>
          </w:p>
          <w:p w:rsidR="002B35E6" w:rsidRPr="004F055F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5E6" w:rsidRPr="004F055F" w:rsidRDefault="002B35E6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Назовите органы управления </w:t>
            </w:r>
            <w:proofErr w:type="spellStart"/>
            <w:r w:rsidR="00004384">
              <w:rPr>
                <w:rFonts w:ascii="Times New Roman" w:hAnsi="Times New Roman"/>
                <w:sz w:val="24"/>
                <w:szCs w:val="24"/>
              </w:rPr>
              <w:t>СурГУ</w:t>
            </w:r>
            <w:proofErr w:type="spellEnd"/>
          </w:p>
          <w:p w:rsidR="002B35E6" w:rsidRPr="004F055F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2B35E6" w:rsidRPr="004F055F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Устав. Раздел 4 Управление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B35E6" w:rsidRPr="004F055F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Органами управления учреждения являются конфе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ренция работников и обучающихся, 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ученый совет, попечительский совет и ректор. </w:t>
            </w:r>
          </w:p>
          <w:p w:rsidR="002B35E6" w:rsidRPr="004F055F" w:rsidRDefault="002B35E6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Органы управления учреждения в пределах своей компетенции, определенной четвертым  разделом, принимают локальные нормативные акты.</w:t>
            </w:r>
          </w:p>
        </w:tc>
      </w:tr>
      <w:tr w:rsidR="002B35E6" w:rsidRPr="00EB7408" w:rsidTr="00EB7408">
        <w:tc>
          <w:tcPr>
            <w:tcW w:w="2694" w:type="dxa"/>
          </w:tcPr>
          <w:p w:rsidR="002B35E6" w:rsidRPr="000813CD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CD">
              <w:rPr>
                <w:rFonts w:ascii="Times New Roman" w:hAnsi="Times New Roman"/>
                <w:b/>
                <w:sz w:val="24"/>
                <w:szCs w:val="24"/>
              </w:rPr>
              <w:t>БИЛЕТ № 7</w:t>
            </w:r>
          </w:p>
          <w:p w:rsidR="002B35E6" w:rsidRPr="000813CD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5E6" w:rsidRPr="000813CD" w:rsidRDefault="002B35E6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3CD">
              <w:rPr>
                <w:rFonts w:ascii="Times New Roman" w:hAnsi="Times New Roman"/>
                <w:sz w:val="24"/>
                <w:szCs w:val="24"/>
              </w:rPr>
              <w:t>Назовите компетенции конференции</w:t>
            </w:r>
            <w:r w:rsidR="00004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4384">
              <w:rPr>
                <w:rFonts w:ascii="Times New Roman" w:hAnsi="Times New Roman"/>
                <w:sz w:val="24"/>
                <w:szCs w:val="24"/>
              </w:rPr>
              <w:t>СурГУ</w:t>
            </w:r>
            <w:proofErr w:type="spellEnd"/>
          </w:p>
          <w:p w:rsidR="002B35E6" w:rsidRPr="000813CD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2B35E6" w:rsidRPr="000813CD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Устав. Раздел 4.</w:t>
            </w: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Компетенция конференции:</w:t>
            </w:r>
          </w:p>
          <w:p w:rsidR="002B35E6" w:rsidRPr="000813CD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Утверждение программ развития учреждения.</w:t>
            </w:r>
          </w:p>
          <w:p w:rsidR="002B35E6" w:rsidRPr="000813CD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-Утверждение положений о конференции, об ученом и попечительском советах.</w:t>
            </w:r>
          </w:p>
          <w:p w:rsidR="002B35E6" w:rsidRPr="000813CD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Утверждение правил внутреннего трудового распорядка.</w:t>
            </w:r>
          </w:p>
          <w:p w:rsidR="002B35E6" w:rsidRPr="000813CD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Избрание ученого совета.</w:t>
            </w:r>
          </w:p>
          <w:p w:rsidR="002B35E6" w:rsidRPr="000813CD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Избрание попечительского совета.</w:t>
            </w:r>
          </w:p>
          <w:p w:rsidR="002B35E6" w:rsidRPr="000813CD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-. Избрание комиссии по трудовым спорам.</w:t>
            </w:r>
          </w:p>
          <w:p w:rsidR="002B35E6" w:rsidRPr="000813CD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Утверждение проекта коллективного договора.</w:t>
            </w:r>
          </w:p>
          <w:p w:rsidR="002B35E6" w:rsidRPr="000813CD" w:rsidRDefault="002B35E6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Контроль деятельности иных органов управления учреждения, в том числе заслушивание их отчетов</w:t>
            </w:r>
            <w:r w:rsidRPr="000813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B35E6" w:rsidRPr="00EB7408" w:rsidTr="00EB7408">
        <w:tc>
          <w:tcPr>
            <w:tcW w:w="2694" w:type="dxa"/>
          </w:tcPr>
          <w:p w:rsidR="002B35E6" w:rsidRPr="000813CD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CD">
              <w:rPr>
                <w:rFonts w:ascii="Times New Roman" w:hAnsi="Times New Roman"/>
                <w:b/>
                <w:sz w:val="24"/>
                <w:szCs w:val="24"/>
              </w:rPr>
              <w:t>БИЛЕТ № 8</w:t>
            </w:r>
          </w:p>
          <w:p w:rsidR="002B35E6" w:rsidRPr="000813CD" w:rsidRDefault="002B35E6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35E6" w:rsidRPr="000813CD" w:rsidRDefault="005E3E93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="002B35E6" w:rsidRPr="000813CD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и У</w:t>
            </w:r>
            <w:r w:rsidR="002B35E6" w:rsidRPr="000813CD">
              <w:rPr>
                <w:rFonts w:ascii="Times New Roman" w:hAnsi="Times New Roman"/>
                <w:sz w:val="24"/>
                <w:szCs w:val="24"/>
              </w:rPr>
              <w:t>ченого совета</w:t>
            </w:r>
            <w:r w:rsidR="00004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4384">
              <w:rPr>
                <w:rFonts w:ascii="Times New Roman" w:hAnsi="Times New Roman"/>
                <w:sz w:val="24"/>
                <w:szCs w:val="24"/>
              </w:rPr>
              <w:t>СурГУ</w:t>
            </w:r>
            <w:proofErr w:type="spellEnd"/>
          </w:p>
          <w:p w:rsidR="002B35E6" w:rsidRPr="000813CD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2B35E6" w:rsidRPr="000813CD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Компетенция Ученого совета</w:t>
            </w: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2B35E6" w:rsidRPr="000813CD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Утверждение повестки дня и даты проведения конференции.</w:t>
            </w:r>
          </w:p>
          <w:p w:rsidR="002B35E6" w:rsidRPr="000813CD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Принятие правил внутреннего распорядка обучающихся. </w:t>
            </w:r>
          </w:p>
          <w:p w:rsidR="002B35E6" w:rsidRPr="000813CD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Установление:</w:t>
            </w:r>
          </w:p>
          <w:p w:rsidR="002B35E6" w:rsidRPr="000813CD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формы, периодичности и порядка текущего контроля успеваемости и промежуточной аттестации обучающихся;</w:t>
            </w:r>
          </w:p>
          <w:p w:rsidR="002B35E6" w:rsidRPr="000813CD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порядка и формы проведения итоговой аттестации;</w:t>
            </w:r>
          </w:p>
          <w:p w:rsidR="002B35E6" w:rsidRPr="000813CD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порядка зачета учреждением результатов освоения обучающимися учебных предметов, курсов, дисциплин (модулей), практики, </w:t>
            </w: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дополнительных образовательных программ в других организациях, осуществляющих образовательную деятельность;</w:t>
            </w:r>
          </w:p>
          <w:p w:rsidR="002B35E6" w:rsidRPr="000813CD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порядка и оснований перевода, отчисления и восстановления обучающихся;</w:t>
            </w:r>
          </w:p>
          <w:p w:rsidR="002B35E6" w:rsidRPr="000813CD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режима занятий обучающихся;</w:t>
            </w:r>
          </w:p>
          <w:p w:rsidR="002B35E6" w:rsidRPr="000813CD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порядка пользования лечебно-оздоровительной инфраструктурой, объектами культуры и объектами спорта учреждения;</w:t>
            </w:r>
          </w:p>
          <w:p w:rsidR="002B35E6" w:rsidRPr="000813CD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порядка посещения обучающимися мероприятий, </w:t>
            </w:r>
            <w:proofErr w:type="spellStart"/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проводящихся</w:t>
            </w:r>
            <w:proofErr w:type="spellEnd"/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учреждении, которые не предусмотрены учебным планом.</w:t>
            </w:r>
          </w:p>
          <w:p w:rsidR="002B35E6" w:rsidRPr="000813CD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Утверждение правил приема обучающихся. </w:t>
            </w:r>
          </w:p>
          <w:p w:rsidR="002B35E6" w:rsidRPr="000813CD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Утверждение образовательных программ учреждения. </w:t>
            </w:r>
          </w:p>
          <w:p w:rsidR="002B35E6" w:rsidRPr="000813CD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Утверждение порядка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услуги.</w:t>
            </w:r>
          </w:p>
          <w:p w:rsidR="002B35E6" w:rsidRPr="000813CD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Утверждение порядка участия обучающихся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стандартов.</w:t>
            </w:r>
          </w:p>
          <w:p w:rsidR="002B35E6" w:rsidRPr="000813CD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Утверждение порядка освоения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учреждении.</w:t>
            </w:r>
          </w:p>
          <w:p w:rsidR="002B35E6" w:rsidRPr="000813CD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Утверждение перечня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(модулей).</w:t>
            </w:r>
          </w:p>
          <w:p w:rsidR="002B35E6" w:rsidRPr="000813CD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Установление порядка осуществления индивидуального учета результатов освоения обучающимися образовательных программ и поощрений обучающихся, а также хранения в архивах информации об этих результатах и поощрениях на бумажных и (или) электронных носителях.</w:t>
            </w:r>
          </w:p>
          <w:p w:rsidR="002B35E6" w:rsidRPr="000813CD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Утверждение программ научных исследований и программ методической работы.</w:t>
            </w:r>
          </w:p>
          <w:p w:rsidR="002B35E6" w:rsidRPr="000813CD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Координация и контроль образовательной, научной, методической и творческой деятельности учреждения. </w:t>
            </w:r>
          </w:p>
          <w:p w:rsidR="002B35E6" w:rsidRPr="000813CD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Рассмотрение вопроса о представлении работнику учреждения ученого звания.</w:t>
            </w:r>
          </w:p>
          <w:p w:rsidR="002B35E6" w:rsidRPr="000813CD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Избрание на должности заведующих кафедрами. </w:t>
            </w:r>
          </w:p>
          <w:p w:rsidR="002B35E6" w:rsidRPr="000813CD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Организация конкурсов на замещение должностей научно-педагогических работников.</w:t>
            </w:r>
          </w:p>
          <w:p w:rsidR="002B35E6" w:rsidRPr="000813CD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Установление размеров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размера и порядка выплаты материальной поддержки нуждающимся студентам, порядка поощрения обучающихся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      </w:r>
          </w:p>
          <w:p w:rsidR="002B35E6" w:rsidRPr="000813CD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Установление размера платы за пользование жилым помещением в </w:t>
            </w: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общежитии, порядка и случаев снижения и </w:t>
            </w:r>
            <w:proofErr w:type="spellStart"/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невзимания</w:t>
            </w:r>
            <w:proofErr w:type="spellEnd"/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такой платы и платы за коммунальные услуги, вносимой нанимателями жилых помещений в общежитии, а также порядка предоставления обучающимся по основным образовательным программам среднего профессионального образования и программам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жилого помещения в общежитии.</w:t>
            </w:r>
          </w:p>
          <w:p w:rsidR="002B35E6" w:rsidRPr="000813CD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Установление порядка создания, организации работы, принятия решений комиссией по урегулированию споров между участниками образовательных отношений и их исполнения.</w:t>
            </w:r>
          </w:p>
          <w:p w:rsidR="002B35E6" w:rsidRPr="000813CD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-Утверждение порядка оформления документов об образовании и квалификации на иностранном языке, образцов документов об образовании и квалификации, выдаваемых лицам, прошедшим итоговую аттестацию, образца справки об обучении или о периоде обучения, образца и порядка выдачи документов об обучении по образовательным программам, по которым не предусмотрено проведение итоговой аттестации.</w:t>
            </w:r>
          </w:p>
          <w:p w:rsidR="002B35E6" w:rsidRPr="000813CD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Утверждение порядка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учреждении и порядка пользования педагогическими работниками образовательными, методическими и научными услугами учреждения.</w:t>
            </w:r>
          </w:p>
          <w:p w:rsidR="002B35E6" w:rsidRPr="000813CD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Формирование аттестационной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должностям.</w:t>
            </w:r>
          </w:p>
          <w:p w:rsidR="002B35E6" w:rsidRPr="000813CD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Определение системы оплаты труда работников учреждения.</w:t>
            </w:r>
          </w:p>
          <w:p w:rsidR="002B35E6" w:rsidRPr="000813CD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Установление порядка оформления возникновения, приостановления и прекращения отношений между учреждением и обучающимися. </w:t>
            </w:r>
          </w:p>
          <w:p w:rsidR="002B35E6" w:rsidRPr="000813CD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Установление порядка снижения стоимости платных образовательных услуг. </w:t>
            </w:r>
          </w:p>
          <w:p w:rsidR="002B35E6" w:rsidRPr="000813CD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Принятие решений о переводе, отчислении и восстановлении обучающихся.</w:t>
            </w:r>
          </w:p>
          <w:p w:rsidR="002B35E6" w:rsidRPr="000813CD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Определение информации, подлежащей опубликованию учреждением. </w:t>
            </w:r>
          </w:p>
          <w:p w:rsidR="002B35E6" w:rsidRPr="000813CD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Внесение вопросов в повестку дня заседания конференции и организация выполнения решений конференции. Созыв внеочередного заседания конференции.</w:t>
            </w:r>
          </w:p>
          <w:p w:rsidR="002B35E6" w:rsidRPr="000813CD" w:rsidRDefault="002B35E6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-. Контроль деятельности ректора, в том числе заслушивание его отчетов. Рассмотрение отчетов проректоров и руководителей структурных подразделений учреждения.</w:t>
            </w:r>
          </w:p>
        </w:tc>
      </w:tr>
      <w:tr w:rsidR="002B35E6" w:rsidRPr="00EB7408" w:rsidTr="00EB7408">
        <w:tc>
          <w:tcPr>
            <w:tcW w:w="2694" w:type="dxa"/>
          </w:tcPr>
          <w:p w:rsidR="002B35E6" w:rsidRPr="004F055F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БИЛЕТ 9</w:t>
            </w:r>
          </w:p>
          <w:p w:rsidR="002B35E6" w:rsidRPr="004F055F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5E6" w:rsidRPr="004F055F" w:rsidRDefault="002B35E6" w:rsidP="00E13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Основные задачи Попечительского совета</w:t>
            </w:r>
            <w:r w:rsidR="00004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4384">
              <w:rPr>
                <w:rFonts w:ascii="Times New Roman" w:hAnsi="Times New Roman"/>
                <w:sz w:val="24"/>
                <w:szCs w:val="24"/>
              </w:rPr>
              <w:t>СурГУ</w:t>
            </w:r>
            <w:proofErr w:type="spellEnd"/>
          </w:p>
          <w:p w:rsidR="002B35E6" w:rsidRPr="004F055F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5E6" w:rsidRPr="004F055F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5E6" w:rsidRPr="004F055F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5E6" w:rsidRPr="004F055F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5E6" w:rsidRPr="004F055F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5E6" w:rsidRPr="004F055F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5E6" w:rsidRPr="004F055F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5E6" w:rsidRPr="004F055F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5E6" w:rsidRPr="004F055F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5E6" w:rsidRPr="004F055F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5E6" w:rsidRPr="004F055F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5E6" w:rsidRPr="004F055F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5E6" w:rsidRPr="004F055F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5E6" w:rsidRPr="004F055F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5E6" w:rsidRPr="004F055F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5E6" w:rsidRPr="004F055F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5E6" w:rsidRPr="004F055F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5E6" w:rsidRPr="004F055F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5E6" w:rsidRPr="004F055F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5E6" w:rsidRPr="004F055F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5E6" w:rsidRPr="004F055F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5E6" w:rsidRPr="004F055F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5E6" w:rsidRPr="004F055F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5E6" w:rsidRPr="004F055F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5E6" w:rsidRPr="004F055F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2B35E6" w:rsidRPr="004F055F" w:rsidRDefault="002B35E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Основные задачи Попечительского совета (из Положения о ПС)</w:t>
            </w:r>
          </w:p>
          <w:p w:rsidR="002B35E6" w:rsidRPr="004F055F" w:rsidRDefault="002B35E6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- Содействие совершенствованию образовательного процесса в университете, развитию системы непрерывного образования, духовного и нравственного воспитания студентов, формированию и становлению их деловых и профессиональных качеств.</w:t>
            </w:r>
          </w:p>
          <w:p w:rsidR="002B35E6" w:rsidRPr="004F055F" w:rsidRDefault="002B35E6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 xml:space="preserve">- Оказание организационной, экономической и иной поддержки в </w:t>
            </w: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развитии стратегических направлений деятельности СурГУ, усиление взаимосвязи структур СурГУ с профильными структурами предприятий, учреждений различных ведомств, содействие определению перспективных направлений подготовки конкурентоспособных специалистов и научно – технических кадров с учётом дальнейшего развития рынка труда.</w:t>
            </w:r>
          </w:p>
          <w:p w:rsidR="002B35E6" w:rsidRPr="004F055F" w:rsidRDefault="002B35E6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-. Содействие обновлению содержания образовательных программ в контексте требований ФГОС ВПО (Федеральные Государственные Образовательные Стандарты Высшего Профессионального Образования) и региональной компоненты, интеграции учебного и научного процессов с опорой на ресурсы производственных предприятий, города Сургута и других территорий ХМАО – Югры.</w:t>
            </w:r>
          </w:p>
          <w:p w:rsidR="002B35E6" w:rsidRPr="004F055F" w:rsidRDefault="002B35E6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- Поддержка интеграции учебного и научного процессов в вузе, научно – исследовательской и инновационной деятельности, формирования и развития научных школ, фундаментальных и прикладных научно-технических разработок.</w:t>
            </w:r>
          </w:p>
          <w:p w:rsidR="002B35E6" w:rsidRPr="004F055F" w:rsidRDefault="002B35E6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- Содействие расширению и развитию международного научного, технического и культурного сотрудничества.</w:t>
            </w:r>
          </w:p>
          <w:p w:rsidR="002B35E6" w:rsidRPr="004F055F" w:rsidRDefault="002B35E6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- Содействие в организации практики студентов, трудоустройстве выпускников СурГУ.</w:t>
            </w:r>
          </w:p>
          <w:p w:rsidR="002B35E6" w:rsidRPr="004F055F" w:rsidRDefault="002B35E6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- Содействие развитию институтов гражданского общества в системе образования.</w:t>
            </w:r>
          </w:p>
          <w:p w:rsidR="002B35E6" w:rsidRPr="004F055F" w:rsidRDefault="002B35E6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- Укрепление престижа СурГУ в ХМАО – Югре, Российской Федерации и за рубежом.</w:t>
            </w:r>
          </w:p>
        </w:tc>
      </w:tr>
      <w:tr w:rsidR="002B35E6" w:rsidRPr="00EB7408" w:rsidTr="00EB7408">
        <w:tc>
          <w:tcPr>
            <w:tcW w:w="2694" w:type="dxa"/>
          </w:tcPr>
          <w:p w:rsidR="002B35E6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Билет 10</w:t>
            </w:r>
          </w:p>
          <w:p w:rsidR="002B35E6" w:rsidRPr="004F055F" w:rsidRDefault="002B35E6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5E6" w:rsidRPr="004F055F" w:rsidRDefault="002B35E6" w:rsidP="00E13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Периодичность прохождения  плановой аттестации  и что является основанием для внеочередной аттестации кадров</w:t>
            </w:r>
            <w:r w:rsidR="00004384">
              <w:rPr>
                <w:rFonts w:ascii="Times New Roman" w:hAnsi="Times New Roman"/>
                <w:sz w:val="24"/>
                <w:szCs w:val="24"/>
              </w:rPr>
              <w:t>?</w:t>
            </w:r>
            <w:r w:rsidR="00004384" w:rsidRPr="004F055F">
              <w:rPr>
                <w:rFonts w:ascii="Times New Roman" w:hAnsi="Times New Roman"/>
                <w:sz w:val="24"/>
                <w:szCs w:val="24"/>
              </w:rPr>
              <w:t xml:space="preserve"> Кто из работников не подлежит аттестации</w:t>
            </w:r>
            <w:r w:rsidR="0000438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478" w:type="dxa"/>
          </w:tcPr>
          <w:p w:rsidR="002B35E6" w:rsidRPr="004F055F" w:rsidRDefault="002B35E6" w:rsidP="00B958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Очередная аттестация</w:t>
            </w:r>
            <w:r w:rsidRPr="004F055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проводится на плановой основе 1 раз в пять лет.  Внеочередная аттестация может проводиться по следующим основаниям:</w:t>
            </w:r>
          </w:p>
          <w:p w:rsidR="002B35E6" w:rsidRPr="004F055F" w:rsidRDefault="002B35E6" w:rsidP="00B958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ar-SA"/>
              </w:rPr>
              <w:t>по личному заявлению работника;</w:t>
            </w:r>
          </w:p>
          <w:p w:rsidR="002B35E6" w:rsidRPr="004F055F" w:rsidRDefault="002B35E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ar-SA"/>
              </w:rPr>
              <w:t>по решению ректора в случае сокращения должностей в университете или изменения условий оплаты труда работников.</w:t>
            </w:r>
          </w:p>
          <w:p w:rsidR="00004384" w:rsidRPr="00901539" w:rsidRDefault="00004384" w:rsidP="000043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b/>
                <w:lang w:eastAsia="ar-SA"/>
              </w:rPr>
              <w:t>Аттестации не подлежат</w:t>
            </w:r>
            <w:r w:rsidRPr="00901539">
              <w:rPr>
                <w:rFonts w:ascii="Times New Roman" w:hAnsi="Times New Roman"/>
                <w:lang w:eastAsia="ar-SA"/>
              </w:rPr>
              <w:t>:</w:t>
            </w:r>
          </w:p>
          <w:p w:rsidR="00004384" w:rsidRPr="00901539" w:rsidRDefault="00004384" w:rsidP="00004384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работники, проработавшие в данной должности менее 1 года;</w:t>
            </w:r>
          </w:p>
          <w:p w:rsidR="00004384" w:rsidRPr="00901539" w:rsidRDefault="00004384" w:rsidP="00004384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работники, вышедшие из отпуска по уходу за ребёнком в течение 1 года;</w:t>
            </w:r>
          </w:p>
          <w:p w:rsidR="00004384" w:rsidRPr="00901539" w:rsidRDefault="00004384" w:rsidP="00004384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беременные женщины;</w:t>
            </w:r>
          </w:p>
          <w:p w:rsidR="00004384" w:rsidRPr="00901539" w:rsidRDefault="00004384" w:rsidP="00004384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работники, находящиеся в отпуске по беременности и родам, по уходу за ребенком;</w:t>
            </w:r>
          </w:p>
          <w:p w:rsidR="00004384" w:rsidRPr="00901539" w:rsidRDefault="00004384" w:rsidP="00004384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работники, с которыми заключены срочные договоры сроком до 1 года;</w:t>
            </w:r>
          </w:p>
          <w:p w:rsidR="00004384" w:rsidRPr="00901539" w:rsidRDefault="00004384" w:rsidP="00004384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работники, принятые на работу на период отсутствия работника, находящегося в отпуске по уходу за ребенком до 3 лет;</w:t>
            </w:r>
          </w:p>
          <w:p w:rsidR="00004384" w:rsidRPr="00901539" w:rsidRDefault="00004384" w:rsidP="00004384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работники, находящиеся в длительной служебной командировке или на стационарном лечении;</w:t>
            </w:r>
          </w:p>
          <w:p w:rsidR="00004384" w:rsidRPr="00901539" w:rsidRDefault="00004384" w:rsidP="00004384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работающие студенты;</w:t>
            </w:r>
          </w:p>
          <w:p w:rsidR="002B35E6" w:rsidRPr="004F055F" w:rsidRDefault="00FD5591" w:rsidP="000043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lang w:eastAsia="ar-SA"/>
              </w:rPr>
              <w:t xml:space="preserve">- </w:t>
            </w:r>
            <w:bookmarkStart w:id="0" w:name="_GoBack"/>
            <w:bookmarkEnd w:id="0"/>
            <w:r w:rsidR="00004384" w:rsidRPr="00901539">
              <w:rPr>
                <w:rFonts w:ascii="Times New Roman" w:hAnsi="Times New Roman"/>
                <w:lang w:eastAsia="ar-SA"/>
              </w:rPr>
              <w:t>сотрудники, работающие на условиях внешнего совместительства.</w:t>
            </w:r>
          </w:p>
        </w:tc>
      </w:tr>
      <w:tr w:rsidR="002B35E6" w:rsidRPr="00EB7408" w:rsidTr="005400B4">
        <w:tc>
          <w:tcPr>
            <w:tcW w:w="2694" w:type="dxa"/>
          </w:tcPr>
          <w:p w:rsidR="002B35E6" w:rsidRPr="004F055F" w:rsidRDefault="002B35E6" w:rsidP="005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Билет № 1</w:t>
            </w:r>
            <w:r w:rsidR="000043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2B35E6" w:rsidRPr="004F055F" w:rsidRDefault="002B35E6" w:rsidP="005E3E93">
            <w:pPr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Какое </w:t>
            </w:r>
            <w:proofErr w:type="gramStart"/>
            <w:r w:rsidRPr="004F055F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gramEnd"/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может вынести и </w:t>
            </w:r>
            <w:proofErr w:type="gramStart"/>
            <w:r w:rsidRPr="004F055F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 w:rsidRPr="004F055F">
              <w:rPr>
                <w:rFonts w:ascii="Times New Roman" w:hAnsi="Times New Roman"/>
                <w:sz w:val="24"/>
                <w:szCs w:val="24"/>
              </w:rPr>
              <w:t xml:space="preserve"> рекомендации отразить аттестационная комиссия по результатам </w:t>
            </w:r>
            <w:r w:rsidRPr="004F055F">
              <w:rPr>
                <w:rFonts w:ascii="Times New Roman" w:hAnsi="Times New Roman"/>
                <w:sz w:val="24"/>
                <w:szCs w:val="24"/>
              </w:rPr>
              <w:lastRenderedPageBreak/>
              <w:t>аттестации?</w:t>
            </w:r>
          </w:p>
        </w:tc>
        <w:tc>
          <w:tcPr>
            <w:tcW w:w="7478" w:type="dxa"/>
          </w:tcPr>
          <w:p w:rsidR="002B35E6" w:rsidRPr="00901539" w:rsidRDefault="002B35E6" w:rsidP="00580639">
            <w:pPr>
              <w:pStyle w:val="consplusnormal0"/>
              <w:spacing w:before="0" w:beforeAutospacing="0" w:after="0" w:afterAutospacing="0"/>
              <w:ind w:firstLine="540"/>
              <w:jc w:val="both"/>
              <w:rPr>
                <w:b/>
                <w:lang w:eastAsia="ar-SA"/>
              </w:rPr>
            </w:pPr>
            <w:r w:rsidRPr="00901539">
              <w:rPr>
                <w:b/>
                <w:lang w:eastAsia="ar-SA"/>
              </w:rPr>
              <w:lastRenderedPageBreak/>
              <w:t>По результатам аттестации комиссия выносит одно из следующих решений:</w:t>
            </w:r>
          </w:p>
          <w:p w:rsidR="002B35E6" w:rsidRPr="00901539" w:rsidRDefault="002B35E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соответствует занимаемой должности;</w:t>
            </w:r>
          </w:p>
          <w:p w:rsidR="002B35E6" w:rsidRPr="00901539" w:rsidRDefault="002B35E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не соответствует занимаемой должности;</w:t>
            </w:r>
          </w:p>
          <w:p w:rsidR="002B35E6" w:rsidRPr="00901539" w:rsidRDefault="002B35E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соответствует занимаемой должности с присвоением категории.</w:t>
            </w:r>
          </w:p>
          <w:p w:rsidR="002B35E6" w:rsidRPr="00901539" w:rsidRDefault="002B35E6" w:rsidP="00B958DA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 xml:space="preserve">Аттестационная комиссия вправе отразить по результатам аттестации мотивированные рекомендации, в том числе: </w:t>
            </w:r>
          </w:p>
          <w:p w:rsidR="002B35E6" w:rsidRPr="00901539" w:rsidRDefault="002B35E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о включении работника, в установленном порядке, в кадровый резерв для замещения вакантной должности в порядке должностного роста;</w:t>
            </w:r>
          </w:p>
          <w:p w:rsidR="002B35E6" w:rsidRPr="00901539" w:rsidRDefault="002B35E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lastRenderedPageBreak/>
              <w:t xml:space="preserve">о необходимости профессиональной переподготовки или повышения квалификации; </w:t>
            </w:r>
          </w:p>
          <w:p w:rsidR="002B35E6" w:rsidRPr="00901539" w:rsidRDefault="002B35E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о плане развития его карьеры;</w:t>
            </w:r>
          </w:p>
          <w:p w:rsidR="002B35E6" w:rsidRPr="00901539" w:rsidRDefault="002B35E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о возможном перемещении или увольнении;</w:t>
            </w:r>
          </w:p>
          <w:p w:rsidR="005E3E93" w:rsidRPr="00901539" w:rsidRDefault="002B35E6" w:rsidP="005E3E93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об уровне оплаты труда и др.</w:t>
            </w:r>
          </w:p>
        </w:tc>
      </w:tr>
      <w:tr w:rsidR="002B35E6" w:rsidRPr="00EB7408" w:rsidTr="00E13D70">
        <w:trPr>
          <w:trHeight w:val="2608"/>
        </w:trPr>
        <w:tc>
          <w:tcPr>
            <w:tcW w:w="2694" w:type="dxa"/>
          </w:tcPr>
          <w:p w:rsidR="002B35E6" w:rsidRPr="004F055F" w:rsidRDefault="002B35E6" w:rsidP="005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Билет № 1</w:t>
            </w:r>
            <w:r w:rsidR="000043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B35E6" w:rsidRPr="004F055F" w:rsidRDefault="002B35E6" w:rsidP="00E13D70">
            <w:pPr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Какое решение вправе принять ректор  с учетом рекомендаций аттестационной комиссии?</w:t>
            </w:r>
          </w:p>
        </w:tc>
        <w:tc>
          <w:tcPr>
            <w:tcW w:w="7478" w:type="dxa"/>
          </w:tcPr>
          <w:p w:rsidR="002B35E6" w:rsidRPr="004F055F" w:rsidRDefault="002B35E6" w:rsidP="00B958DA">
            <w:pPr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Ректор, с учетом решений и рекомендаций аттестационной комиссии, вправе</w:t>
            </w:r>
            <w:r w:rsidRPr="004F055F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2B35E6" w:rsidRPr="004F055F" w:rsidRDefault="002B35E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ar-SA"/>
              </w:rPr>
              <w:t>повысить, понизить или сохранить квалификационную категорию работнику;</w:t>
            </w:r>
          </w:p>
          <w:p w:rsidR="002B35E6" w:rsidRPr="004F055F" w:rsidRDefault="002B35E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ar-SA"/>
              </w:rPr>
              <w:t>повысить или освободить работника от должности;</w:t>
            </w:r>
          </w:p>
          <w:p w:rsidR="002B35E6" w:rsidRPr="004F055F" w:rsidRDefault="002B35E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ar-SA"/>
              </w:rPr>
              <w:t>установить или отменить персональную стимулирующую надбавку к окладу, иные стимулирующие выплаты и др.;</w:t>
            </w:r>
          </w:p>
          <w:p w:rsidR="002B35E6" w:rsidRPr="004F055F" w:rsidRDefault="002B35E6" w:rsidP="00B9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ar-SA"/>
              </w:rPr>
              <w:t>уволить работника по итогам аттестации в соответствии с Трудовым кодексом Российской Федерации</w:t>
            </w:r>
          </w:p>
        </w:tc>
      </w:tr>
      <w:tr w:rsidR="002B35E6" w:rsidRPr="00EB7408" w:rsidTr="00E13D70">
        <w:trPr>
          <w:trHeight w:val="3662"/>
        </w:trPr>
        <w:tc>
          <w:tcPr>
            <w:tcW w:w="2694" w:type="dxa"/>
          </w:tcPr>
          <w:p w:rsidR="002B35E6" w:rsidRPr="004F055F" w:rsidRDefault="002B35E6" w:rsidP="00540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Билет № 1</w:t>
            </w:r>
            <w:r w:rsidR="000043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2B35E6" w:rsidRPr="004F055F" w:rsidRDefault="002B35E6" w:rsidP="00004384">
            <w:pPr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Назовите организационные документы </w:t>
            </w:r>
            <w:proofErr w:type="spellStart"/>
            <w:r w:rsidR="00004384">
              <w:rPr>
                <w:rFonts w:ascii="Times New Roman" w:hAnsi="Times New Roman"/>
                <w:sz w:val="24"/>
                <w:szCs w:val="24"/>
              </w:rPr>
              <w:t>СурГУ</w:t>
            </w:r>
            <w:proofErr w:type="spellEnd"/>
          </w:p>
        </w:tc>
        <w:tc>
          <w:tcPr>
            <w:tcW w:w="7478" w:type="dxa"/>
          </w:tcPr>
          <w:p w:rsidR="002B35E6" w:rsidRDefault="002B35E6" w:rsidP="00B958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В основу управленческой деятельности университета входит обеспечение эффективного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документооборота.</w:t>
            </w:r>
          </w:p>
          <w:p w:rsidR="002B35E6" w:rsidRPr="004F055F" w:rsidRDefault="002B35E6" w:rsidP="00B958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К организационным документам относятся: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став </w:t>
            </w:r>
            <w:proofErr w:type="spellStart"/>
            <w:r w:rsidRPr="004F055F">
              <w:rPr>
                <w:rFonts w:ascii="Times New Roman" w:hAnsi="Times New Roman"/>
                <w:sz w:val="24"/>
                <w:szCs w:val="24"/>
              </w:rPr>
              <w:t>СурГУ</w:t>
            </w:r>
            <w:proofErr w:type="spellEnd"/>
            <w:r w:rsidRPr="004F055F">
              <w:rPr>
                <w:rFonts w:ascii="Times New Roman" w:hAnsi="Times New Roman"/>
                <w:sz w:val="24"/>
                <w:szCs w:val="24"/>
              </w:rPr>
              <w:t xml:space="preserve">, договор с учредителем, структура и штатная численность, штатное расписание, должностные инструкции работников, правила внутреннего трудового распорядка. </w:t>
            </w:r>
            <w:proofErr w:type="gramStart"/>
            <w:r w:rsidRPr="004F055F">
              <w:rPr>
                <w:rFonts w:ascii="Times New Roman" w:hAnsi="Times New Roman"/>
                <w:sz w:val="24"/>
                <w:szCs w:val="24"/>
              </w:rPr>
              <w:t>Также к документообороту относят: распорядительные (приказы, распоряжения и инструкции) и информационно-справочные документы (трудовые соглашения, письма, отчеты, протоколы, справки, акты, докладные и объяснительные записки и др.).</w:t>
            </w:r>
            <w:proofErr w:type="gramEnd"/>
          </w:p>
          <w:p w:rsidR="002B35E6" w:rsidRPr="004F055F" w:rsidRDefault="002B35E6" w:rsidP="00B9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      Документы должны быть оформлены на бланке организации, содержать все необходимые реквизиты и иметь правильный порядок расположения.</w:t>
            </w:r>
          </w:p>
        </w:tc>
      </w:tr>
      <w:tr w:rsidR="002B35E6" w:rsidRPr="00EB7408" w:rsidTr="005400B4">
        <w:tc>
          <w:tcPr>
            <w:tcW w:w="2694" w:type="dxa"/>
          </w:tcPr>
          <w:p w:rsidR="002B35E6" w:rsidRPr="004F055F" w:rsidRDefault="002B35E6" w:rsidP="005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Билет № 1</w:t>
            </w:r>
            <w:r w:rsidR="0000438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2B35E6" w:rsidRPr="004F055F" w:rsidRDefault="002B35E6" w:rsidP="005400B4">
            <w:pPr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Что включает в себя нормативно-методическая база делопроизводства</w:t>
            </w:r>
          </w:p>
        </w:tc>
        <w:tc>
          <w:tcPr>
            <w:tcW w:w="7478" w:type="dxa"/>
          </w:tcPr>
          <w:p w:rsidR="002B35E6" w:rsidRPr="004F055F" w:rsidRDefault="002B35E6" w:rsidP="00DC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Нормативно-методическая база включает в себя:</w:t>
            </w:r>
          </w:p>
          <w:p w:rsidR="002B35E6" w:rsidRPr="004F055F" w:rsidRDefault="002B35E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 законодательные акты РФ в сфере информации и документации;</w:t>
            </w:r>
          </w:p>
          <w:p w:rsidR="002B35E6" w:rsidRPr="004F055F" w:rsidRDefault="002B35E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указы и распоряжения Президента РФ;</w:t>
            </w:r>
          </w:p>
          <w:p w:rsidR="002B35E6" w:rsidRPr="004F055F" w:rsidRDefault="002B35E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Постановления и распоряжения Правительства РФ, регламентирующие вопросы документационного попечения на федеральном уровне;</w:t>
            </w:r>
          </w:p>
          <w:p w:rsidR="002B35E6" w:rsidRPr="004F055F" w:rsidRDefault="002B35E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 правовые акты федеральных органов исполнительной власти (министерств, комитетов, служб, агентов и др.);</w:t>
            </w:r>
          </w:p>
          <w:p w:rsidR="002B35E6" w:rsidRPr="004F055F" w:rsidRDefault="002B35E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 правовые акты органов представительной и исполнительной власти субъектов РФ и органов местного самоуправления;</w:t>
            </w:r>
          </w:p>
          <w:p w:rsidR="002B35E6" w:rsidRPr="004F055F" w:rsidRDefault="002B35E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 государственные стандарты на документацию и общероссийские классификаторы технико-экономической и социальной информации;</w:t>
            </w:r>
          </w:p>
          <w:p w:rsidR="002B35E6" w:rsidRPr="004F055F" w:rsidRDefault="002B35E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 нормативные документы по организации управленческого труда и охране труда;</w:t>
            </w:r>
          </w:p>
          <w:p w:rsidR="002B35E6" w:rsidRPr="004F055F" w:rsidRDefault="002B35E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 нормативные документы по организации архивного хранения документов</w:t>
            </w:r>
          </w:p>
        </w:tc>
      </w:tr>
      <w:tr w:rsidR="002B35E6" w:rsidRPr="00155ACE" w:rsidTr="005400B4">
        <w:tc>
          <w:tcPr>
            <w:tcW w:w="2694" w:type="dxa"/>
          </w:tcPr>
          <w:p w:rsidR="002B35E6" w:rsidRPr="00580639" w:rsidRDefault="002B35E6" w:rsidP="005400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639">
              <w:rPr>
                <w:rFonts w:ascii="Times New Roman" w:hAnsi="Times New Roman"/>
                <w:b/>
                <w:sz w:val="24"/>
                <w:szCs w:val="24"/>
              </w:rPr>
              <w:t>Билет № 1</w:t>
            </w:r>
            <w:r w:rsidR="0000438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2B35E6" w:rsidRPr="004F055F" w:rsidRDefault="002B35E6" w:rsidP="00540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Дайте понятие номенклатуре дел</w:t>
            </w:r>
          </w:p>
          <w:p w:rsidR="002B35E6" w:rsidRPr="004F055F" w:rsidRDefault="002B35E6" w:rsidP="0054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5E6" w:rsidRPr="004F055F" w:rsidRDefault="002B35E6" w:rsidP="0054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2B35E6" w:rsidRPr="00155ACE" w:rsidRDefault="002B35E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CE">
              <w:rPr>
                <w:rFonts w:ascii="Times New Roman" w:hAnsi="Times New Roman"/>
                <w:b/>
                <w:sz w:val="24"/>
                <w:szCs w:val="24"/>
              </w:rPr>
              <w:t xml:space="preserve"> Для обеспечения правильной систематизации документов</w:t>
            </w:r>
            <w:r w:rsidRPr="00155ACE">
              <w:rPr>
                <w:rFonts w:ascii="Times New Roman" w:hAnsi="Times New Roman"/>
                <w:sz w:val="24"/>
                <w:szCs w:val="24"/>
              </w:rPr>
              <w:t xml:space="preserve"> в СурГУ составляется номенклатура дел.</w:t>
            </w:r>
          </w:p>
          <w:p w:rsidR="002B35E6" w:rsidRPr="00155ACE" w:rsidRDefault="002B35E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CE">
              <w:rPr>
                <w:rFonts w:ascii="Times New Roman" w:hAnsi="Times New Roman"/>
                <w:sz w:val="24"/>
                <w:szCs w:val="24"/>
              </w:rPr>
              <w:tab/>
            </w:r>
            <w:r w:rsidRPr="00155ACE">
              <w:rPr>
                <w:rFonts w:ascii="Times New Roman" w:hAnsi="Times New Roman"/>
                <w:b/>
                <w:sz w:val="24"/>
                <w:szCs w:val="24"/>
              </w:rPr>
              <w:t>Номенклатура дел</w:t>
            </w:r>
            <w:r w:rsidRPr="00155ACE">
              <w:rPr>
                <w:rFonts w:ascii="Times New Roman" w:hAnsi="Times New Roman"/>
                <w:sz w:val="24"/>
                <w:szCs w:val="24"/>
              </w:rPr>
              <w:t xml:space="preserve"> (НД) - это систематизированный перечень наименований дел, заводимых в организации, с указанием сроков их хранения, оформленный в установленном порядке. </w:t>
            </w:r>
          </w:p>
          <w:p w:rsidR="002B35E6" w:rsidRPr="00155ACE" w:rsidRDefault="002B35E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CE">
              <w:rPr>
                <w:rFonts w:ascii="Times New Roman" w:hAnsi="Times New Roman"/>
                <w:sz w:val="24"/>
                <w:szCs w:val="24"/>
              </w:rPr>
              <w:tab/>
              <w:t xml:space="preserve">НД - многоцелевой документ. Это - систематизация, индексация дел, создание справочной картотеки, опись и учёт документов. В номенклатуру дел включаются все дела университета  и журналы регистрации. Не включаются в номенклатуру научно- </w:t>
            </w:r>
            <w:r w:rsidRPr="00155ACE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технические документы и печатные издания.</w:t>
            </w:r>
          </w:p>
          <w:p w:rsidR="002B35E6" w:rsidRPr="00155ACE" w:rsidRDefault="002B35E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CE">
              <w:rPr>
                <w:rFonts w:ascii="Times New Roman" w:hAnsi="Times New Roman"/>
                <w:sz w:val="24"/>
                <w:szCs w:val="24"/>
              </w:rPr>
              <w:tab/>
              <w:t>Номенклатура дел  составляется  службой  делопроизводства,   архивистом совместно с ответственными за делопроизводство в структурных подразделениях.</w:t>
            </w:r>
          </w:p>
        </w:tc>
      </w:tr>
      <w:tr w:rsidR="002B35E6" w:rsidRPr="00EB7408" w:rsidTr="00580639">
        <w:trPr>
          <w:trHeight w:val="2642"/>
        </w:trPr>
        <w:tc>
          <w:tcPr>
            <w:tcW w:w="2694" w:type="dxa"/>
          </w:tcPr>
          <w:p w:rsidR="002B35E6" w:rsidRPr="004F055F" w:rsidRDefault="002B35E6" w:rsidP="004F05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Билет № 1</w:t>
            </w:r>
            <w:r w:rsidR="0000438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2B35E6" w:rsidRPr="004F055F" w:rsidRDefault="002B35E6" w:rsidP="004F05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Порядок и правила составления описи дел</w:t>
            </w:r>
          </w:p>
          <w:p w:rsidR="002B35E6" w:rsidRDefault="002B35E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5E6" w:rsidRDefault="002B35E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5E6" w:rsidRDefault="002B35E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5E6" w:rsidRDefault="002B35E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5E6" w:rsidRDefault="002B35E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5E6" w:rsidRDefault="002B35E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5E6" w:rsidRDefault="002B35E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5E6" w:rsidRDefault="002B35E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5E6" w:rsidRDefault="002B35E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5E6" w:rsidRDefault="002B35E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5E6" w:rsidRDefault="002B35E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5E6" w:rsidRDefault="002B35E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5E6" w:rsidRPr="004F055F" w:rsidRDefault="002B35E6" w:rsidP="004F05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2B35E6" w:rsidRPr="004F055F" w:rsidRDefault="002B35E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Для того</w:t>
            </w:r>
            <w:proofErr w:type="gramStart"/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gramEnd"/>
            <w:r w:rsidRPr="004F055F">
              <w:rPr>
                <w:rFonts w:ascii="Times New Roman" w:hAnsi="Times New Roman"/>
                <w:b/>
                <w:sz w:val="24"/>
                <w:szCs w:val="24"/>
              </w:rPr>
              <w:t xml:space="preserve"> чтобы составить описи дел за определенный период, необходимо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B35E6" w:rsidRPr="004F055F" w:rsidRDefault="002B35E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-Взять номенклатуру дел своего подразделения за год, который подлежит описи (в архиве);</w:t>
            </w:r>
          </w:p>
          <w:p w:rsidR="002B35E6" w:rsidRPr="004F055F" w:rsidRDefault="002B35E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-Отобрать из неё дела сроком хранения выше 10 лет или «Постоянно».</w:t>
            </w:r>
          </w:p>
          <w:p w:rsidR="002B35E6" w:rsidRPr="004F055F" w:rsidRDefault="002B35E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-Посмотреть, есть ли у вас в наличии эти дела, в каком объёме.</w:t>
            </w:r>
          </w:p>
          <w:p w:rsidR="002B35E6" w:rsidRPr="004F055F" w:rsidRDefault="002B35E6" w:rsidP="00DC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Оформить дела согласно правилам:</w:t>
            </w:r>
          </w:p>
          <w:p w:rsidR="002B35E6" w:rsidRPr="004F055F" w:rsidRDefault="002B35E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-Сформировать дело не более 250 листов, при необходимости - разделить на два тома.</w:t>
            </w:r>
          </w:p>
          <w:p w:rsidR="002B35E6" w:rsidRPr="004F055F" w:rsidRDefault="002B35E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-Пронумеровать все листы (кроме обложки и листа-заверителя) карандашом в правом верхнем углу.</w:t>
            </w:r>
          </w:p>
          <w:p w:rsidR="002B35E6" w:rsidRPr="004F055F" w:rsidRDefault="002B35E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-Оформить в прозрачную пластиковую обложку (хранятся у ответственных делопроизводителей). В начало дела поместить титульный лист (обложку). На обложке заполняются поля: структурное подразделение, № тома (если получилось несколько томов), заголовок дела.</w:t>
            </w:r>
          </w:p>
          <w:p w:rsidR="002B35E6" w:rsidRPr="004F055F" w:rsidRDefault="002B35E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ab/>
              <w:t>В конце каждого дела подшивается чистый бланк листа-заверителя, за ним - картонная обложка (хранятся у ответственных делопроизводителей)</w:t>
            </w:r>
          </w:p>
          <w:p w:rsidR="002B35E6" w:rsidRPr="004F055F" w:rsidRDefault="002B35E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ab/>
              <w:t>Дела прошиваются в четыре прокола, булавки и металлические и пластиковые скрепки удаляются.</w:t>
            </w:r>
          </w:p>
          <w:p w:rsidR="002B35E6" w:rsidRPr="004F055F" w:rsidRDefault="002B35E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Листы формата A3 подшиваются за один край, лист складывается и нумеруется как один лист. Дела, состоящие из особо ценных док  </w:t>
            </w:r>
            <w:proofErr w:type="spellStart"/>
            <w:r w:rsidRPr="004F055F">
              <w:rPr>
                <w:rFonts w:ascii="Times New Roman" w:hAnsi="Times New Roman"/>
                <w:sz w:val="24"/>
                <w:szCs w:val="24"/>
              </w:rPr>
              <w:t>ументов</w:t>
            </w:r>
            <w:proofErr w:type="spellEnd"/>
            <w:r w:rsidRPr="004F055F">
              <w:rPr>
                <w:rFonts w:ascii="Times New Roman" w:hAnsi="Times New Roman"/>
                <w:sz w:val="24"/>
                <w:szCs w:val="24"/>
              </w:rPr>
              <w:t xml:space="preserve"> (лицензии, сертификаты), хранятся в папках с тремя клапанами с завязками или коробках.</w:t>
            </w:r>
          </w:p>
          <w:p w:rsidR="002B35E6" w:rsidRPr="004F055F" w:rsidRDefault="002B35E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5E6" w:rsidRPr="00EB7408" w:rsidTr="002B35E6">
        <w:trPr>
          <w:trHeight w:val="274"/>
        </w:trPr>
        <w:tc>
          <w:tcPr>
            <w:tcW w:w="2694" w:type="dxa"/>
          </w:tcPr>
          <w:p w:rsidR="002B35E6" w:rsidRPr="00580639" w:rsidRDefault="002B35E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639">
              <w:rPr>
                <w:rFonts w:ascii="Times New Roman" w:hAnsi="Times New Roman"/>
                <w:b/>
                <w:sz w:val="24"/>
                <w:szCs w:val="24"/>
              </w:rPr>
              <w:t>Билет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00438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2B35E6" w:rsidRPr="004F055F" w:rsidRDefault="002B35E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Какие требования должны соблюдаться при ведении переписки</w:t>
            </w:r>
          </w:p>
        </w:tc>
        <w:tc>
          <w:tcPr>
            <w:tcW w:w="7478" w:type="dxa"/>
          </w:tcPr>
          <w:p w:rsidR="002B35E6" w:rsidRDefault="002B35E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EF">
              <w:rPr>
                <w:rFonts w:ascii="Times New Roman" w:hAnsi="Times New Roman"/>
                <w:b/>
                <w:sz w:val="24"/>
                <w:szCs w:val="24"/>
              </w:rPr>
              <w:t>При ведении переписки должны соблюдаться следующие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B35E6" w:rsidRPr="004F055F" w:rsidRDefault="002B35E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EF">
              <w:rPr>
                <w:rFonts w:ascii="Times New Roman" w:hAnsi="Times New Roman"/>
                <w:sz w:val="24"/>
                <w:szCs w:val="24"/>
              </w:rPr>
              <w:t xml:space="preserve"> Документы оформляются на специальных бланках — бланках писем или телеграмм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— и подписываются руководителем организации или его заместителями в рамках представленной им компетенции;</w:t>
            </w:r>
          </w:p>
          <w:p w:rsidR="002B35E6" w:rsidRPr="004F055F" w:rsidRDefault="002B35E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текст должен составляться грамотно, аккуратно, без помарок и исправлений;</w:t>
            </w:r>
          </w:p>
          <w:p w:rsidR="002B35E6" w:rsidRPr="004F055F" w:rsidRDefault="002B35E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— текст должен излагаться спокойным, выдержанным, официально-деловым языком, обладать достаточной аргументацией, точностью, полнотой и ясностью характеристик, краткостью и последовательностью изложения;</w:t>
            </w:r>
          </w:p>
          <w:p w:rsidR="002B35E6" w:rsidRPr="004F055F" w:rsidRDefault="002B35E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Во вступлении дается обоснование вопроса: причина возникновения вопроса или его краткая история. Если поводом для составления письма послужил какой-либо документ, дается ссылка на него. В основной части (доказательстве) излагается существо вопроса, приводятся доказательства или опровержения. Основная часть должна быть убедительной, чтобы не возникало сомнений в правильности или обоснованности предлагаемых решений.</w:t>
            </w:r>
          </w:p>
          <w:p w:rsidR="002B35E6" w:rsidRPr="004F055F" w:rsidRDefault="002B35E6" w:rsidP="00DC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В заключении формулируется основная цель письма.</w:t>
            </w:r>
          </w:p>
        </w:tc>
      </w:tr>
      <w:tr w:rsidR="002B35E6" w:rsidRPr="00EB7408" w:rsidTr="005400B4">
        <w:trPr>
          <w:trHeight w:val="5071"/>
        </w:trPr>
        <w:tc>
          <w:tcPr>
            <w:tcW w:w="2694" w:type="dxa"/>
          </w:tcPr>
          <w:p w:rsidR="002B35E6" w:rsidRPr="000657EF" w:rsidRDefault="002B35E6" w:rsidP="00E449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Билет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00438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2B35E6" w:rsidRPr="004F055F" w:rsidRDefault="002B35E6" w:rsidP="00E44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Назовите 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виды деятельности </w:t>
            </w:r>
            <w:proofErr w:type="spellStart"/>
            <w:r w:rsidR="00004384">
              <w:rPr>
                <w:rFonts w:ascii="Times New Roman" w:hAnsi="Times New Roman"/>
                <w:sz w:val="24"/>
                <w:szCs w:val="24"/>
              </w:rPr>
              <w:t>СурГУ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приносящие доход</w:t>
            </w:r>
          </w:p>
          <w:p w:rsidR="002B35E6" w:rsidRPr="004F055F" w:rsidRDefault="002B35E6" w:rsidP="00E449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2B35E6" w:rsidRPr="004F055F" w:rsidRDefault="002B35E6" w:rsidP="00E449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деятельности, не являющиеся основными, приносящие доход:</w:t>
            </w:r>
          </w:p>
          <w:p w:rsidR="002B35E6" w:rsidRPr="004F055F" w:rsidRDefault="002B35E6" w:rsidP="00E449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Услуги по сдаче в наем жилых помещений специализированного жилищного фонда Ханты-Мансийского автономного округа - Югры, находящихся в оперативном управлении учреждения, обучающимся и работникам учреждения.</w:t>
            </w:r>
          </w:p>
          <w:p w:rsidR="002B35E6" w:rsidRPr="004F055F" w:rsidRDefault="002B35E6" w:rsidP="00E449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Гостиничные услуги лицам, участвующим в реализации образовательных программ учреждения, в помещениях, находящихся у учреждения на праве оперативного управления. </w:t>
            </w:r>
          </w:p>
          <w:p w:rsidR="002B35E6" w:rsidRPr="004F055F" w:rsidRDefault="002B35E6" w:rsidP="00E449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Услуги общественного питания работникам и обучающимся учреждения в помещениях, находящихся у учреждения на праве оперативного управления.</w:t>
            </w:r>
          </w:p>
          <w:p w:rsidR="002B35E6" w:rsidRPr="004F055F" w:rsidRDefault="002B35E6" w:rsidP="00E449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-Библиотечная деятельность.</w:t>
            </w:r>
          </w:p>
          <w:p w:rsidR="002B35E6" w:rsidRPr="004F055F" w:rsidRDefault="002B35E6" w:rsidP="00E449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-Издательская и полиграфическая деятельность в сфере образования.</w:t>
            </w:r>
          </w:p>
          <w:p w:rsidR="002B35E6" w:rsidRPr="004F055F" w:rsidRDefault="002B35E6" w:rsidP="00E449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-Реализация товаров, работ и услуг, полученных в результате практической подготовки обучающихся. </w:t>
            </w:r>
          </w:p>
          <w:p w:rsidR="002B35E6" w:rsidRPr="004F055F" w:rsidRDefault="002B35E6" w:rsidP="00E449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Деятельность, связанная с использованием вычислительной техники и информационных технологий.</w:t>
            </w:r>
          </w:p>
          <w:p w:rsidR="002B35E6" w:rsidRPr="004F055F" w:rsidRDefault="002B35E6" w:rsidP="00E449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-Деятельность по изучению общественного мнения.</w:t>
            </w:r>
          </w:p>
          <w:p w:rsidR="002B35E6" w:rsidRPr="004F055F" w:rsidRDefault="002B35E6" w:rsidP="00E449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Учреждение вправе осуществлять только те виды деятельности, которые указаны в настоящем разделе, и лишь постольку, поскольку это служит достижению его целей. Видами деятельности учреждения могут быть только выполнение работ и оказание услуг.</w:t>
            </w:r>
          </w:p>
        </w:tc>
      </w:tr>
      <w:tr w:rsidR="002B35E6" w:rsidRPr="00EB7408" w:rsidTr="005400B4">
        <w:tc>
          <w:tcPr>
            <w:tcW w:w="2694" w:type="dxa"/>
          </w:tcPr>
          <w:p w:rsidR="002B35E6" w:rsidRDefault="002B35E6" w:rsidP="00E449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Билет № </w:t>
            </w:r>
            <w:r w:rsidR="0000438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2B35E6" w:rsidRPr="000657EF" w:rsidRDefault="002B35E6" w:rsidP="00E44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EF">
              <w:rPr>
                <w:rFonts w:ascii="Times New Roman" w:hAnsi="Times New Roman"/>
                <w:sz w:val="24"/>
                <w:szCs w:val="24"/>
              </w:rPr>
              <w:t xml:space="preserve">Назовите основные виды деятельности </w:t>
            </w:r>
            <w:proofErr w:type="spellStart"/>
            <w:r w:rsidR="00004384">
              <w:rPr>
                <w:rFonts w:ascii="Times New Roman" w:hAnsi="Times New Roman"/>
                <w:sz w:val="24"/>
                <w:szCs w:val="24"/>
              </w:rPr>
              <w:t>СурГУ</w:t>
            </w:r>
            <w:proofErr w:type="spellEnd"/>
          </w:p>
        </w:tc>
        <w:tc>
          <w:tcPr>
            <w:tcW w:w="7478" w:type="dxa"/>
          </w:tcPr>
          <w:p w:rsidR="002B35E6" w:rsidRPr="004F055F" w:rsidRDefault="002B35E6" w:rsidP="00E449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достижения своих целей учреждение 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существляет следующие основные 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виды деятельности:</w:t>
            </w:r>
          </w:p>
          <w:p w:rsidR="002B35E6" w:rsidRPr="004F055F" w:rsidRDefault="002B35E6" w:rsidP="00E449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Реализация образовательных программ высшего образования: </w:t>
            </w:r>
            <w:proofErr w:type="spellStart"/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магистратуры, ординатуры, интернатуры, подготовки научно-педагогических кадров в аспирантуре. </w:t>
            </w:r>
          </w:p>
          <w:p w:rsidR="002B35E6" w:rsidRPr="004F055F" w:rsidRDefault="002B35E6" w:rsidP="00E449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Реализация основных образовательных программ профессионального обучения: профессиональной подготовки по профессиям рабочих, должностям служащих, переподготовки рабочих, служащих, повышения квалификации рабочих, служащих.</w:t>
            </w:r>
          </w:p>
          <w:p w:rsidR="002B35E6" w:rsidRPr="004F055F" w:rsidRDefault="002B35E6" w:rsidP="00E449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Реализация дополнительных образовательных программ: повышения квалификации, профессиональной переподготовки, общеразвивающих и предпрофессиональных программ.</w:t>
            </w:r>
          </w:p>
          <w:p w:rsidR="002B35E6" w:rsidRPr="004F055F" w:rsidRDefault="002B35E6" w:rsidP="00E449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Реализация основных образовательных программ дошкольного, начального общего, основного общего и среднего общего образования.</w:t>
            </w:r>
          </w:p>
          <w:p w:rsidR="002B35E6" w:rsidRPr="004F055F" w:rsidRDefault="002B35E6" w:rsidP="00E449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-. Научная, научно-техническая, экспериментальная и инновационная деятельность. </w:t>
            </w:r>
          </w:p>
          <w:p w:rsidR="002B35E6" w:rsidRPr="004F055F" w:rsidRDefault="002B35E6" w:rsidP="00E449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-. Организация мероприятий в сфере образования и иных мероприятий.</w:t>
            </w:r>
          </w:p>
          <w:p w:rsidR="002B35E6" w:rsidRPr="000657EF" w:rsidRDefault="002B35E6" w:rsidP="00E449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1C00" w:rsidRPr="00EF0007" w:rsidRDefault="004A1C00" w:rsidP="003562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1C00" w:rsidRPr="00356219" w:rsidRDefault="004A1C00" w:rsidP="00356219">
      <w:pPr>
        <w:jc w:val="center"/>
        <w:rPr>
          <w:rFonts w:ascii="Times New Roman" w:hAnsi="Times New Roman"/>
        </w:rPr>
      </w:pPr>
    </w:p>
    <w:sectPr w:rsidR="004A1C00" w:rsidRPr="00356219" w:rsidSect="0028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DB1091"/>
    <w:multiLevelType w:val="hybridMultilevel"/>
    <w:tmpl w:val="5664A938"/>
    <w:lvl w:ilvl="0" w:tplc="C64263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DBD"/>
    <w:rsid w:val="00004384"/>
    <w:rsid w:val="000657EF"/>
    <w:rsid w:val="000813CD"/>
    <w:rsid w:val="000F533C"/>
    <w:rsid w:val="00155ACE"/>
    <w:rsid w:val="001F4335"/>
    <w:rsid w:val="002823F6"/>
    <w:rsid w:val="002B35E6"/>
    <w:rsid w:val="002D6820"/>
    <w:rsid w:val="00356219"/>
    <w:rsid w:val="003E2E09"/>
    <w:rsid w:val="004A1C00"/>
    <w:rsid w:val="004B7271"/>
    <w:rsid w:val="004F055F"/>
    <w:rsid w:val="004F31A4"/>
    <w:rsid w:val="005400B4"/>
    <w:rsid w:val="00567E95"/>
    <w:rsid w:val="00580639"/>
    <w:rsid w:val="005E3E93"/>
    <w:rsid w:val="006F45FD"/>
    <w:rsid w:val="007468F3"/>
    <w:rsid w:val="00794A38"/>
    <w:rsid w:val="007F6053"/>
    <w:rsid w:val="0085707A"/>
    <w:rsid w:val="00895F39"/>
    <w:rsid w:val="008F2A24"/>
    <w:rsid w:val="00901539"/>
    <w:rsid w:val="00902F50"/>
    <w:rsid w:val="0093047B"/>
    <w:rsid w:val="0095102B"/>
    <w:rsid w:val="00954544"/>
    <w:rsid w:val="00991DAB"/>
    <w:rsid w:val="009E156A"/>
    <w:rsid w:val="00A1542F"/>
    <w:rsid w:val="00B958DA"/>
    <w:rsid w:val="00C03760"/>
    <w:rsid w:val="00D04198"/>
    <w:rsid w:val="00D569A4"/>
    <w:rsid w:val="00DC7F54"/>
    <w:rsid w:val="00E01052"/>
    <w:rsid w:val="00E13D70"/>
    <w:rsid w:val="00E24DBD"/>
    <w:rsid w:val="00E61CCB"/>
    <w:rsid w:val="00EB0979"/>
    <w:rsid w:val="00EB7408"/>
    <w:rsid w:val="00EF0007"/>
    <w:rsid w:val="00F048EB"/>
    <w:rsid w:val="00F3763C"/>
    <w:rsid w:val="00FB3921"/>
    <w:rsid w:val="00FD4F58"/>
    <w:rsid w:val="00FD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6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F0007"/>
    <w:pPr>
      <w:ind w:left="720"/>
      <w:contextualSpacing/>
    </w:pPr>
  </w:style>
  <w:style w:type="paragraph" w:customStyle="1" w:styleId="ConsPlusNormal">
    <w:name w:val="ConsPlusNormal"/>
    <w:uiPriority w:val="99"/>
    <w:rsid w:val="00FD4F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5400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400B4"/>
    <w:pPr>
      <w:spacing w:before="120" w:after="216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3E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E2E0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3175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Татьяна Федоровна</dc:creator>
  <cp:keywords/>
  <dc:description/>
  <cp:lastModifiedBy>Шипицына</cp:lastModifiedBy>
  <cp:revision>21</cp:revision>
  <cp:lastPrinted>2017-10-13T05:22:00Z</cp:lastPrinted>
  <dcterms:created xsi:type="dcterms:W3CDTF">2017-09-15T04:32:00Z</dcterms:created>
  <dcterms:modified xsi:type="dcterms:W3CDTF">2018-09-18T06:54:00Z</dcterms:modified>
</cp:coreProperties>
</file>